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8A85F" w14:textId="77777777" w:rsidR="0074696E" w:rsidRPr="007620A8" w:rsidRDefault="00C248AF" w:rsidP="00EC40D5">
      <w:pPr>
        <w:pStyle w:val="Sectionbreakfirstpage"/>
        <w:rPr>
          <w:rFonts w:ascii="Noto Sans Arabic" w:hAnsi="Noto Sans Arabic" w:cs="Noto Sans Arabic"/>
        </w:rPr>
      </w:pPr>
      <w:r w:rsidRPr="007620A8">
        <w:rPr>
          <w:rFonts w:ascii="Noto Sans Arabic" w:hAnsi="Noto Sans Arabic" w:cs="Noto Sans Arabic"/>
          <w:lang w:val="en-US" w:eastAsia="zh-CN"/>
        </w:rPr>
        <w:drawing>
          <wp:anchor distT="0" distB="0" distL="114300" distR="114300" simplePos="0" relativeHeight="251658240" behindDoc="1" locked="1" layoutInCell="1" allowOverlap="1" wp14:anchorId="23B4F0EB" wp14:editId="773C145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565861"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flipH="1">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62903EA5" w14:textId="77777777" w:rsidR="00A62D44" w:rsidRPr="007620A8" w:rsidRDefault="00A62D44" w:rsidP="00EC40D5">
      <w:pPr>
        <w:pStyle w:val="Sectionbreakfirstpage"/>
        <w:rPr>
          <w:rFonts w:ascii="Noto Sans Arabic" w:hAnsi="Noto Sans Arabic" w:cs="Noto Sans Arabic"/>
        </w:rPr>
        <w:sectPr w:rsidR="00A62D44" w:rsidRPr="007620A8"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251C7" w:rsidRPr="007620A8" w14:paraId="2F1CDA28" w14:textId="77777777" w:rsidTr="00B07FF7">
        <w:trPr>
          <w:trHeight w:val="622"/>
        </w:trPr>
        <w:tc>
          <w:tcPr>
            <w:tcW w:w="10348" w:type="dxa"/>
            <w:tcMar>
              <w:top w:w="1531" w:type="dxa"/>
              <w:left w:w="0" w:type="dxa"/>
              <w:right w:w="0" w:type="dxa"/>
            </w:tcMar>
          </w:tcPr>
          <w:p w14:paraId="52C01CC7" w14:textId="77777777" w:rsidR="003B5733" w:rsidRPr="007620A8" w:rsidRDefault="00C248AF" w:rsidP="003B5733">
            <w:pPr>
              <w:pStyle w:val="Documenttitle"/>
              <w:bidi/>
              <w:rPr>
                <w:rFonts w:ascii="Noto Sans Arabic" w:hAnsi="Noto Sans Arabic" w:cs="Noto Sans Arabic"/>
              </w:rPr>
            </w:pPr>
            <w:r w:rsidRPr="007620A8">
              <w:rPr>
                <w:rFonts w:ascii="Noto Sans Arabic" w:hAnsi="Noto Sans Arabic" w:cs="Noto Sans Arabic"/>
                <w:rtl/>
                <w:lang w:val="ar"/>
              </w:rPr>
              <w:lastRenderedPageBreak/>
              <w:t>جدرى القرود</w:t>
            </w:r>
          </w:p>
        </w:tc>
      </w:tr>
      <w:tr w:rsidR="001251C7" w:rsidRPr="007620A8" w14:paraId="2BD6849E" w14:textId="77777777" w:rsidTr="00B07FF7">
        <w:tc>
          <w:tcPr>
            <w:tcW w:w="10348" w:type="dxa"/>
          </w:tcPr>
          <w:p w14:paraId="00E9FE89" w14:textId="77777777" w:rsidR="003B5733" w:rsidRPr="007620A8" w:rsidRDefault="00C248AF" w:rsidP="005F44C0">
            <w:pPr>
              <w:pStyle w:val="Documentsubtitle"/>
              <w:bidi/>
              <w:rPr>
                <w:rFonts w:ascii="Noto Sans Arabic" w:hAnsi="Noto Sans Arabic" w:cs="Noto Sans Arabic"/>
              </w:rPr>
            </w:pPr>
            <w:r w:rsidRPr="007620A8">
              <w:rPr>
                <w:rFonts w:ascii="Noto Sans Arabic" w:hAnsi="Noto Sans Arabic" w:cs="Noto Sans Arabic"/>
                <w:rtl/>
                <w:lang w:val="ar"/>
              </w:rPr>
              <w:t>ورقة معلومات للمستهليكن</w:t>
            </w:r>
          </w:p>
        </w:tc>
      </w:tr>
      <w:tr w:rsidR="001251C7" w:rsidRPr="007620A8" w14:paraId="57674F11" w14:textId="77777777" w:rsidTr="00B07FF7">
        <w:tc>
          <w:tcPr>
            <w:tcW w:w="10348" w:type="dxa"/>
          </w:tcPr>
          <w:p w14:paraId="5FAA79BD" w14:textId="77777777" w:rsidR="003B5733" w:rsidRPr="005642A7" w:rsidRDefault="003F30C3" w:rsidP="007620A8">
            <w:pPr>
              <w:pStyle w:val="Bannermarking"/>
              <w:jc w:val="right"/>
              <w:rPr>
                <w:rFonts w:asciiTheme="minorBidi" w:hAnsiTheme="minorBidi" w:cstheme="minorBidi"/>
              </w:rPr>
            </w:pPr>
            <w:r w:rsidRPr="005642A7">
              <w:rPr>
                <w:rFonts w:asciiTheme="minorBidi" w:hAnsiTheme="minorBidi" w:cstheme="minorBidi"/>
              </w:rPr>
              <w:fldChar w:fldCharType="begin"/>
            </w:r>
            <w:r w:rsidRPr="005642A7">
              <w:rPr>
                <w:rFonts w:asciiTheme="minorBidi" w:hAnsiTheme="minorBidi" w:cstheme="minorBidi"/>
              </w:rPr>
              <w:instrText>FILLIN  "Type the protective marking" \d OFFICIAL \o  \* MERGEFORMAT</w:instrText>
            </w:r>
            <w:r w:rsidRPr="005642A7">
              <w:rPr>
                <w:rFonts w:asciiTheme="minorBidi" w:hAnsiTheme="minorBidi" w:cstheme="minorBidi"/>
              </w:rPr>
              <w:fldChar w:fldCharType="separate"/>
            </w:r>
            <w:r w:rsidRPr="005642A7">
              <w:rPr>
                <w:rFonts w:asciiTheme="minorBidi" w:hAnsiTheme="minorBidi" w:cstheme="minorBidi"/>
              </w:rPr>
              <w:t>OFFICIAL</w:t>
            </w:r>
            <w:r w:rsidRPr="005642A7">
              <w:rPr>
                <w:rFonts w:asciiTheme="minorBidi" w:hAnsiTheme="minorBidi" w:cstheme="minorBidi"/>
              </w:rPr>
              <w:fldChar w:fldCharType="end"/>
            </w:r>
          </w:p>
          <w:p w14:paraId="2A0D32EC" w14:textId="5AC854AE" w:rsidR="008D1729" w:rsidRPr="007620A8" w:rsidRDefault="007620A8" w:rsidP="007620A8">
            <w:pPr>
              <w:pStyle w:val="Bannermarking"/>
              <w:jc w:val="right"/>
              <w:rPr>
                <w:rFonts w:ascii="Noto Sans Arabic" w:hAnsi="Noto Sans Arabic" w:cs="Noto Sans Arabic"/>
                <w:b w:val="0"/>
                <w:bCs w:val="0"/>
              </w:rPr>
            </w:pPr>
            <w:r w:rsidRPr="005642A7">
              <w:rPr>
                <w:rFonts w:asciiTheme="minorBidi" w:hAnsiTheme="minorBidi" w:cstheme="minorBidi"/>
                <w:b w:val="0"/>
                <w:bCs w:val="0"/>
              </w:rPr>
              <w:t>Arabic</w:t>
            </w:r>
            <w:r w:rsidRPr="007620A8">
              <w:rPr>
                <w:rFonts w:ascii="Noto Sans Arabic" w:hAnsi="Noto Sans Arabic" w:cs="Noto Sans Arabic"/>
                <w:b w:val="0"/>
                <w:bCs w:val="0"/>
              </w:rPr>
              <w:t xml:space="preserve"> | </w:t>
            </w:r>
            <w:r w:rsidRPr="007620A8">
              <w:rPr>
                <w:rFonts w:ascii="Noto Sans Arabic" w:hAnsi="Noto Sans Arabic" w:cs="Noto Sans Arabic"/>
                <w:b w:val="0"/>
                <w:bCs w:val="0"/>
                <w:szCs w:val="21"/>
                <w:rtl/>
              </w:rPr>
              <w:t>العربية</w:t>
            </w:r>
          </w:p>
        </w:tc>
      </w:tr>
    </w:tbl>
    <w:p w14:paraId="31511605" w14:textId="77777777" w:rsidR="00C51F0A" w:rsidRPr="007620A8" w:rsidRDefault="00C248AF" w:rsidP="76CA397E">
      <w:pPr>
        <w:pStyle w:val="Heading1"/>
        <w:bidi/>
        <w:rPr>
          <w:rFonts w:ascii="Noto Sans Arabic" w:hAnsi="Noto Sans Arabic" w:cs="Noto Sans Arabic"/>
        </w:rPr>
      </w:pPr>
      <w:bookmarkStart w:id="0" w:name="_Toc104371283"/>
      <w:bookmarkStart w:id="1" w:name="_Hlk63948051"/>
      <w:r w:rsidRPr="007620A8">
        <w:rPr>
          <w:rFonts w:ascii="Noto Sans Arabic" w:hAnsi="Noto Sans Arabic" w:cs="Noto Sans Arabic"/>
          <w:rtl/>
          <w:lang w:val="ar"/>
        </w:rPr>
        <w:t>ما هو جدري القرود؟</w:t>
      </w:r>
      <w:bookmarkEnd w:id="0"/>
    </w:p>
    <w:p w14:paraId="0EC6854D" w14:textId="77777777" w:rsidR="76CA397E" w:rsidRPr="00EC08C3" w:rsidRDefault="00C248AF" w:rsidP="001B3DC5">
      <w:pPr>
        <w:bidi/>
        <w:spacing w:before="100" w:beforeAutospacing="1" w:after="100" w:afterAutospacing="1" w:line="240" w:lineRule="auto"/>
        <w:rPr>
          <w:rFonts w:ascii="Noto Sans Arabic" w:hAnsi="Noto Sans Arabic" w:cs="Noto Sans Arabic"/>
          <w:color w:val="000000" w:themeColor="text1"/>
          <w:szCs w:val="21"/>
          <w:lang w:eastAsia="en-GB"/>
        </w:rPr>
      </w:pPr>
      <w:bookmarkStart w:id="2" w:name="_Toc66711982"/>
      <w:bookmarkEnd w:id="1"/>
      <w:r w:rsidRPr="00EC08C3">
        <w:rPr>
          <w:rFonts w:ascii="Noto Sans Arabic" w:hAnsi="Noto Sans Arabic" w:cs="Noto Sans Arabic"/>
          <w:color w:val="000000" w:themeColor="text1"/>
          <w:rtl/>
          <w:lang w:val="ar" w:eastAsia="en-GB"/>
        </w:rPr>
        <w:t xml:space="preserve">يُعدُّ جدري القرود مرضاً نادراً ولكنه قد يكون خطيراً وينتج عن الإصابة بفيروس جدري القرود. عادة ما يؤدي إلى مرض خفيف مرتبط بطفح جلدي. </w:t>
      </w:r>
    </w:p>
    <w:p w14:paraId="70F49963" w14:textId="77777777" w:rsidR="76CA397E" w:rsidRPr="007620A8" w:rsidRDefault="00C248AF" w:rsidP="76CA397E">
      <w:pPr>
        <w:pStyle w:val="Body"/>
        <w:bidi/>
        <w:rPr>
          <w:rFonts w:ascii="Noto Sans Arabic" w:hAnsi="Noto Sans Arabic" w:cs="Noto Sans Arabic"/>
          <w:color w:val="222222"/>
          <w:szCs w:val="21"/>
        </w:rPr>
      </w:pPr>
      <w:r w:rsidRPr="00EC08C3">
        <w:rPr>
          <w:rFonts w:ascii="Noto Sans Arabic" w:eastAsia="Arial" w:hAnsi="Noto Sans Arabic" w:cs="Noto Sans Arabic"/>
          <w:color w:val="000000" w:themeColor="text1"/>
          <w:szCs w:val="21"/>
          <w:rtl/>
          <w:lang w:val="ar"/>
        </w:rPr>
        <w:t xml:space="preserve">منذ مايو/ أيار ٢٠٢٢، كانت هناك زيادة عالمية في حالات MPX، تشمل أكثر من ١٠٠ دولة. ينتشر MPX </w:t>
      </w:r>
      <w:r w:rsidRPr="00EC08C3">
        <w:rPr>
          <w:rFonts w:ascii="Noto Sans Arabic" w:eastAsia="Arial" w:hAnsi="Noto Sans Arabic" w:cs="Noto Sans Arabic"/>
          <w:color w:val="000000" w:themeColor="text1"/>
          <w:szCs w:val="21"/>
          <w:rtl/>
          <w:lang w:val="ar"/>
        </w:rPr>
        <w:t>حاليًا داخل المجتمعات المحلية في المناطق التي لا يظهر فيها MPX عادةً. يؤثر التفشي الحالي في الغالب على الرجال الذين يمارسون الجنس مع الرجال.</w:t>
      </w:r>
    </w:p>
    <w:p w14:paraId="72AD5091" w14:textId="77777777" w:rsidR="00C51F0A" w:rsidRPr="007620A8" w:rsidRDefault="00C248AF" w:rsidP="76CA397E">
      <w:pPr>
        <w:pStyle w:val="Heading1"/>
        <w:bidi/>
        <w:spacing w:beforeAutospacing="1" w:afterAutospacing="1" w:line="240" w:lineRule="auto"/>
        <w:rPr>
          <w:rFonts w:ascii="Noto Sans Arabic" w:eastAsia="Times New Roman" w:hAnsi="Noto Sans Arabic" w:cs="Noto Sans Arabic"/>
          <w:strike/>
          <w:color w:val="222222"/>
          <w:sz w:val="21"/>
          <w:szCs w:val="21"/>
          <w:lang w:eastAsia="en-GB"/>
        </w:rPr>
      </w:pPr>
      <w:bookmarkStart w:id="3" w:name="_Toc104371284"/>
      <w:bookmarkEnd w:id="2"/>
      <w:r w:rsidRPr="007620A8">
        <w:rPr>
          <w:rFonts w:ascii="Noto Sans Arabic" w:hAnsi="Noto Sans Arabic" w:cs="Noto Sans Arabic"/>
          <w:rtl/>
          <w:lang w:val="ar"/>
        </w:rPr>
        <w:t>كيف ينتقل جدرى القرود</w:t>
      </w:r>
      <w:bookmarkEnd w:id="3"/>
    </w:p>
    <w:p w14:paraId="7DF8B033" w14:textId="77777777" w:rsidR="008D1729" w:rsidRPr="00EC08C3" w:rsidRDefault="00C248AF" w:rsidP="008D1729">
      <w:pPr>
        <w:bidi/>
        <w:spacing w:before="100" w:beforeAutospacing="1" w:after="100" w:afterAutospacing="1" w:line="240" w:lineRule="auto"/>
        <w:rPr>
          <w:rFonts w:ascii="Noto Sans Arabic" w:hAnsi="Noto Sans Arabic" w:cs="Noto Sans Arabic"/>
          <w:color w:val="000000" w:themeColor="text1"/>
          <w:szCs w:val="21"/>
          <w:lang w:eastAsia="en-GB"/>
        </w:rPr>
      </w:pPr>
      <w:bookmarkStart w:id="4" w:name="_Toc410717547"/>
      <w:bookmarkStart w:id="5" w:name="_Toc66711984"/>
      <w:r w:rsidRPr="00EC08C3">
        <w:rPr>
          <w:rFonts w:ascii="Noto Sans Arabic" w:hAnsi="Noto Sans Arabic" w:cs="Noto Sans Arabic"/>
          <w:color w:val="000000" w:themeColor="text1"/>
          <w:szCs w:val="21"/>
          <w:rtl/>
          <w:lang w:val="ar" w:eastAsia="en-GB"/>
        </w:rPr>
        <w:t>لا ينتشر جدرى القرود بسهولة بين الناس.</w:t>
      </w:r>
    </w:p>
    <w:p w14:paraId="488C9986" w14:textId="77777777" w:rsidR="008D1729" w:rsidRPr="00EC08C3" w:rsidRDefault="00C248AF" w:rsidP="008D1729">
      <w:p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قد يحدث الانتشار من شخص لآخر من خلال:</w:t>
      </w:r>
    </w:p>
    <w:p w14:paraId="54EA9367" w14:textId="77777777" w:rsidR="008D1729" w:rsidRPr="00EC08C3" w:rsidRDefault="00C248AF" w:rsidP="00B80D71">
      <w:pPr>
        <w:numPr>
          <w:ilvl w:val="0"/>
          <w:numId w:val="8"/>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 xml:space="preserve">الاتصال الجنسي </w:t>
      </w:r>
      <w:r w:rsidRPr="00EC08C3">
        <w:rPr>
          <w:rFonts w:ascii="Noto Sans Arabic" w:hAnsi="Noto Sans Arabic" w:cs="Noto Sans Arabic"/>
          <w:color w:val="000000" w:themeColor="text1"/>
          <w:szCs w:val="21"/>
          <w:rtl/>
          <w:lang w:val="ar" w:eastAsia="en-GB"/>
        </w:rPr>
        <w:t>أو العلاقة الحميمية مع شخص مصاب</w:t>
      </w:r>
    </w:p>
    <w:p w14:paraId="4625BB92" w14:textId="77777777" w:rsidR="008D1729" w:rsidRPr="00EC08C3" w:rsidRDefault="00C248AF" w:rsidP="00B80D71">
      <w:pPr>
        <w:numPr>
          <w:ilvl w:val="0"/>
          <w:numId w:val="8"/>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ملامسة الملابس أو الأغطية (مثل الفراش أو المناشف) التي يستخدمها شخص مصاب</w:t>
      </w:r>
    </w:p>
    <w:p w14:paraId="3099B21F" w14:textId="77777777" w:rsidR="008D1729" w:rsidRPr="00EC08C3" w:rsidRDefault="00C248AF" w:rsidP="00B80D71">
      <w:pPr>
        <w:numPr>
          <w:ilvl w:val="0"/>
          <w:numId w:val="8"/>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التلامس المباشر مع الحبوب الجلدية أو قشور الجروح الناجمة عن جدري القرود</w:t>
      </w:r>
    </w:p>
    <w:p w14:paraId="13532030" w14:textId="77777777" w:rsidR="008D1729" w:rsidRPr="00EC08C3" w:rsidRDefault="00C248AF" w:rsidP="00B80D71">
      <w:pPr>
        <w:numPr>
          <w:ilvl w:val="0"/>
          <w:numId w:val="8"/>
        </w:numPr>
        <w:bidi/>
        <w:spacing w:before="100" w:beforeAutospacing="1" w:after="100"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الرذاذ التنفسي من شخص مصاب بجدرى القرود.</w:t>
      </w:r>
    </w:p>
    <w:p w14:paraId="77068B81" w14:textId="77777777" w:rsidR="008D1729" w:rsidRPr="00EC08C3" w:rsidRDefault="00C248AF" w:rsidP="0E43994D">
      <w:pPr>
        <w:bidi/>
        <w:spacing w:before="100" w:beforeAutospacing="1" w:after="100" w:afterAutospacing="1" w:line="240" w:lineRule="auto"/>
        <w:rPr>
          <w:rFonts w:ascii="Noto Sans Arabic" w:hAnsi="Noto Sans Arabic" w:cs="Noto Sans Arabic"/>
          <w:color w:val="000000" w:themeColor="text1"/>
          <w:lang w:eastAsia="en-GB"/>
        </w:rPr>
      </w:pPr>
      <w:r w:rsidRPr="00EC08C3">
        <w:rPr>
          <w:rFonts w:ascii="Noto Sans Arabic" w:eastAsia="Arial" w:hAnsi="Noto Sans Arabic" w:cs="Noto Sans Arabic"/>
          <w:color w:val="000000" w:themeColor="text1"/>
          <w:szCs w:val="21"/>
          <w:rtl/>
          <w:lang w:val="ar"/>
        </w:rPr>
        <w:t>لا ينتشر عن طريق التلامس العارض. في ال</w:t>
      </w:r>
      <w:r w:rsidRPr="00EC08C3">
        <w:rPr>
          <w:rFonts w:ascii="Noto Sans Arabic" w:eastAsia="Arial" w:hAnsi="Noto Sans Arabic" w:cs="Noto Sans Arabic"/>
          <w:color w:val="000000" w:themeColor="text1"/>
          <w:szCs w:val="21"/>
          <w:rtl/>
          <w:lang w:val="ar"/>
        </w:rPr>
        <w:t>مناطق الموبوءة، قد يحدث انتشار جدري القرود عندما يكون الشخص على اتصال وثيق مع حيوان بري (مثل القوارض) مصاب بالفيروس أو تناول لحم صيد بري لحيوان مصاب.</w:t>
      </w:r>
    </w:p>
    <w:p w14:paraId="5122CB4C" w14:textId="77777777" w:rsidR="008D1729" w:rsidRPr="00EC08C3" w:rsidRDefault="00C248AF" w:rsidP="008D1729">
      <w:p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lastRenderedPageBreak/>
        <w:t>يمكن للأشخاص المصابين بجدري القرود أن ينقلوا العدوى للآخرين من وقت ظهور أعراضهم الأولى (والتي عادة ما تكون</w:t>
      </w:r>
      <w:r w:rsidRPr="00EC08C3">
        <w:rPr>
          <w:rFonts w:ascii="Noto Sans Arabic" w:hAnsi="Noto Sans Arabic" w:cs="Noto Sans Arabic"/>
          <w:color w:val="000000" w:themeColor="text1"/>
          <w:szCs w:val="21"/>
          <w:rtl/>
          <w:lang w:val="ar" w:eastAsia="en-GB"/>
        </w:rPr>
        <w:t xml:space="preserve"> حمى، ولكنها تبدأ أحيانًا بالطفح الجلدي) وحتى تتقشر حبوب الطفح الجلدي أو تجف أو تسقط. </w:t>
      </w:r>
    </w:p>
    <w:p w14:paraId="3EDE1121" w14:textId="77777777" w:rsidR="00E149E2" w:rsidRPr="007620A8" w:rsidRDefault="00C248AF" w:rsidP="00E149E2">
      <w:pPr>
        <w:pStyle w:val="Heading1"/>
        <w:bidi/>
        <w:rPr>
          <w:rFonts w:ascii="Noto Sans Arabic" w:hAnsi="Noto Sans Arabic" w:cs="Noto Sans Arabic"/>
        </w:rPr>
      </w:pPr>
      <w:bookmarkStart w:id="6" w:name="_Toc104371285"/>
      <w:bookmarkEnd w:id="4"/>
      <w:bookmarkEnd w:id="5"/>
      <w:r w:rsidRPr="007620A8">
        <w:rPr>
          <w:rFonts w:ascii="Noto Sans Arabic" w:hAnsi="Noto Sans Arabic" w:cs="Noto Sans Arabic"/>
          <w:rtl/>
          <w:lang w:val="ar"/>
        </w:rPr>
        <w:t>أعراض جدري القرود</w:t>
      </w:r>
      <w:bookmarkEnd w:id="6"/>
    </w:p>
    <w:p w14:paraId="6843F5C1" w14:textId="77777777" w:rsidR="519A0F31" w:rsidRPr="00EC08C3" w:rsidRDefault="00C248AF" w:rsidP="76CA397E">
      <w:p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قد تظهر الأعراض لمدة تصل إلى 21 يومًا من الاتصال الوثيق مع شخص مصاب بـ MPX.</w:t>
      </w:r>
    </w:p>
    <w:p w14:paraId="1237D3FE" w14:textId="77777777" w:rsidR="519A0F31" w:rsidRPr="00EC08C3" w:rsidRDefault="00C248AF" w:rsidP="76CA397E">
      <w:p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 xml:space="preserve">قد تشمل أعراض MPX طفح جلدي يمكن أن يكون مؤلمًا ويؤثر على أي جزء من الجسم </w:t>
      </w:r>
      <w:r w:rsidRPr="00EC08C3">
        <w:rPr>
          <w:rFonts w:ascii="Noto Sans Arabic" w:eastAsia="Arial" w:hAnsi="Noto Sans Arabic" w:cs="Noto Sans Arabic"/>
          <w:color w:val="000000" w:themeColor="text1"/>
          <w:szCs w:val="21"/>
          <w:rtl/>
          <w:lang w:val="ar"/>
        </w:rPr>
        <w:t>بما في ذلك:</w:t>
      </w:r>
    </w:p>
    <w:p w14:paraId="02CC79D0" w14:textId="77777777" w:rsidR="519A0F31" w:rsidRPr="00EC08C3" w:rsidRDefault="00C248AF" w:rsidP="00B80D71">
      <w:pPr>
        <w:pStyle w:val="ListParagraph"/>
        <w:numPr>
          <w:ilvl w:val="0"/>
          <w:numId w:val="1"/>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الأعضاء التناسلية</w:t>
      </w:r>
    </w:p>
    <w:p w14:paraId="7969DF6D" w14:textId="77777777" w:rsidR="519A0F31" w:rsidRPr="00EC08C3" w:rsidRDefault="00C248AF" w:rsidP="00B80D71">
      <w:pPr>
        <w:pStyle w:val="ListParagraph"/>
        <w:numPr>
          <w:ilvl w:val="0"/>
          <w:numId w:val="1"/>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المنطقة حول الشرج والأرداف</w:t>
      </w:r>
    </w:p>
    <w:p w14:paraId="6DAD41A6" w14:textId="77777777" w:rsidR="519A0F31" w:rsidRPr="00EC08C3" w:rsidRDefault="00C248AF" w:rsidP="00B80D71">
      <w:pPr>
        <w:pStyle w:val="ListParagraph"/>
        <w:numPr>
          <w:ilvl w:val="0"/>
          <w:numId w:val="1"/>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داخل الفم</w:t>
      </w:r>
    </w:p>
    <w:p w14:paraId="2ABC6130" w14:textId="77777777" w:rsidR="519A0F31" w:rsidRPr="00EC08C3" w:rsidRDefault="00C248AF" w:rsidP="00B80D71">
      <w:pPr>
        <w:pStyle w:val="ListParagraph"/>
        <w:numPr>
          <w:ilvl w:val="0"/>
          <w:numId w:val="1"/>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الوجه</w:t>
      </w:r>
    </w:p>
    <w:p w14:paraId="17E926DC" w14:textId="77777777" w:rsidR="519A0F31" w:rsidRPr="00EC08C3" w:rsidRDefault="00C248AF" w:rsidP="00B80D71">
      <w:pPr>
        <w:pStyle w:val="ListParagraph"/>
        <w:numPr>
          <w:ilvl w:val="0"/>
          <w:numId w:val="1"/>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اليدين والذراعين</w:t>
      </w:r>
    </w:p>
    <w:p w14:paraId="66849724" w14:textId="77777777" w:rsidR="519A0F31" w:rsidRPr="00EC08C3" w:rsidRDefault="00C248AF" w:rsidP="00B80D71">
      <w:pPr>
        <w:pStyle w:val="ListParagraph"/>
        <w:numPr>
          <w:ilvl w:val="0"/>
          <w:numId w:val="1"/>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القدمين والساقين.</w:t>
      </w:r>
    </w:p>
    <w:p w14:paraId="07A73C63" w14:textId="77777777" w:rsidR="0E43994D" w:rsidRPr="00EC08C3" w:rsidRDefault="00C248AF" w:rsidP="0E43994D">
      <w:pPr>
        <w:bidi/>
        <w:spacing w:beforeAutospacing="1"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 xml:space="preserve">الطفح الجلدي المصاحب لجدري القرود يتضمن حويصلات أو بثور. يختلف عدد الآفات الجلدية من بضعة إلى عدة آلاف. يتغير الطفح الجلدي ويمر بمراحل مختلفة، مثل </w:t>
      </w:r>
      <w:r w:rsidRPr="00EC08C3">
        <w:rPr>
          <w:rFonts w:ascii="Noto Sans Arabic" w:hAnsi="Noto Sans Arabic" w:cs="Noto Sans Arabic"/>
          <w:color w:val="000000" w:themeColor="text1"/>
          <w:rtl/>
          <w:lang w:val="ar" w:eastAsia="en-GB"/>
        </w:rPr>
        <w:t>جدري الماء، قبل أن يتحول في النهاية إلى قشور جروح تتساقط.</w:t>
      </w:r>
    </w:p>
    <w:p w14:paraId="35C4628E" w14:textId="77777777" w:rsidR="008D1729" w:rsidRPr="00EC08C3" w:rsidRDefault="00C248AF" w:rsidP="0E43994D">
      <w:pPr>
        <w:bidi/>
        <w:spacing w:before="100" w:beforeAutospacing="1" w:after="100"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الأعراض الأخرى لجدري القرود التي قد تحدث قبل أو بجانب الطفح الجلدي هي:</w:t>
      </w:r>
    </w:p>
    <w:p w14:paraId="4A05AB17" w14:textId="77777777" w:rsidR="008D1729" w:rsidRPr="00EC08C3" w:rsidRDefault="00C248AF" w:rsidP="00B80D71">
      <w:pPr>
        <w:numPr>
          <w:ilvl w:val="0"/>
          <w:numId w:val="9"/>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الحُمى</w:t>
      </w:r>
    </w:p>
    <w:p w14:paraId="56817276" w14:textId="77777777" w:rsidR="008D1729" w:rsidRPr="00EC08C3" w:rsidRDefault="00C248AF" w:rsidP="00B80D71">
      <w:pPr>
        <w:numPr>
          <w:ilvl w:val="0"/>
          <w:numId w:val="9"/>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القشعريرة</w:t>
      </w:r>
    </w:p>
    <w:p w14:paraId="3F11024B" w14:textId="77777777" w:rsidR="008D1729" w:rsidRPr="00EC08C3" w:rsidRDefault="00C248AF" w:rsidP="00B80D71">
      <w:pPr>
        <w:numPr>
          <w:ilvl w:val="0"/>
          <w:numId w:val="9"/>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آلام في العضلات</w:t>
      </w:r>
    </w:p>
    <w:p w14:paraId="0A91C088" w14:textId="77777777" w:rsidR="008D1729" w:rsidRPr="00EC08C3" w:rsidRDefault="00C248AF" w:rsidP="00B80D71">
      <w:pPr>
        <w:numPr>
          <w:ilvl w:val="0"/>
          <w:numId w:val="9"/>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آلام الظهر</w:t>
      </w:r>
    </w:p>
    <w:p w14:paraId="1493C73F" w14:textId="77777777" w:rsidR="008D1729" w:rsidRPr="00EC08C3" w:rsidRDefault="00C248AF" w:rsidP="00B80D71">
      <w:pPr>
        <w:numPr>
          <w:ilvl w:val="0"/>
          <w:numId w:val="9"/>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تورُّم الغدد الليمفاوية</w:t>
      </w:r>
    </w:p>
    <w:p w14:paraId="044F8B51" w14:textId="405D40D5" w:rsidR="008D1729" w:rsidRPr="00EC08C3" w:rsidRDefault="00C248AF" w:rsidP="00AA3E8C">
      <w:pPr>
        <w:numPr>
          <w:ilvl w:val="0"/>
          <w:numId w:val="9"/>
        </w:numPr>
        <w:bidi/>
        <w:spacing w:before="100" w:beforeAutospacing="1" w:after="100"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الإنهاك</w:t>
      </w:r>
    </w:p>
    <w:p w14:paraId="7AA04437" w14:textId="77777777" w:rsidR="363A5A64" w:rsidRPr="00EC08C3" w:rsidRDefault="00C248AF" w:rsidP="00B80D71">
      <w:pPr>
        <w:numPr>
          <w:ilvl w:val="0"/>
          <w:numId w:val="9"/>
        </w:numPr>
        <w:bidi/>
        <w:spacing w:beforeAutospacing="1"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szCs w:val="21"/>
          <w:rtl/>
          <w:lang w:val="ar" w:eastAsia="en-GB"/>
        </w:rPr>
        <w:t>ألم الشرج والمستقيم</w:t>
      </w:r>
    </w:p>
    <w:p w14:paraId="7165EF1C" w14:textId="77777777" w:rsidR="76CA397E" w:rsidRPr="00EC08C3" w:rsidRDefault="00C248AF" w:rsidP="00B80D71">
      <w:pPr>
        <w:numPr>
          <w:ilvl w:val="0"/>
          <w:numId w:val="9"/>
        </w:numPr>
        <w:bidi/>
        <w:spacing w:beforeAutospacing="1"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szCs w:val="21"/>
          <w:rtl/>
          <w:lang w:val="ar" w:eastAsia="en-GB"/>
        </w:rPr>
        <w:t>ألم عند التبول.</w:t>
      </w:r>
    </w:p>
    <w:p w14:paraId="6E92EC32" w14:textId="2EE8B1BA" w:rsidR="007E4D22" w:rsidRPr="00EC08C3" w:rsidRDefault="00C248AF" w:rsidP="00EC08C3">
      <w:pPr>
        <w:bidi/>
        <w:spacing w:before="100" w:beforeAutospacing="1" w:after="100" w:afterAutospacing="1" w:line="240" w:lineRule="auto"/>
        <w:rPr>
          <w:rStyle w:val="normaltextrun"/>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عادةً ما تختفي</w:t>
      </w:r>
      <w:r w:rsidRPr="00EC08C3">
        <w:rPr>
          <w:rFonts w:ascii="Noto Sans Arabic" w:hAnsi="Noto Sans Arabic" w:cs="Noto Sans Arabic"/>
          <w:color w:val="000000" w:themeColor="text1"/>
          <w:rtl/>
          <w:lang w:val="ar" w:eastAsia="en-GB"/>
        </w:rPr>
        <w:t xml:space="preserve"> الأعراض من تلقاء نفسها في غضون بضع أسابيع</w:t>
      </w:r>
      <w:r w:rsidRPr="00EC08C3">
        <w:rPr>
          <w:rFonts w:ascii="Noto Sans Arabic" w:hAnsi="Noto Sans Arabic" w:cs="Noto Sans Arabic"/>
          <w:color w:val="000000" w:themeColor="text1"/>
          <w:rtl/>
          <w:lang w:val="ar" w:eastAsia="en-GB"/>
        </w:rPr>
        <w:t>.</w:t>
      </w:r>
    </w:p>
    <w:p w14:paraId="157C3114" w14:textId="77777777" w:rsidR="008D1729" w:rsidRPr="007620A8" w:rsidRDefault="00C248AF" w:rsidP="00F059F2">
      <w:pPr>
        <w:pStyle w:val="Heading1"/>
        <w:bidi/>
        <w:rPr>
          <w:rFonts w:ascii="Noto Sans Arabic" w:hAnsi="Noto Sans Arabic" w:cs="Noto Sans Arabic"/>
        </w:rPr>
      </w:pPr>
      <w:bookmarkStart w:id="7" w:name="_Toc104371286"/>
      <w:r w:rsidRPr="007620A8">
        <w:rPr>
          <w:rFonts w:ascii="Noto Sans Arabic" w:hAnsi="Noto Sans Arabic" w:cs="Noto Sans Arabic"/>
          <w:rtl/>
          <w:lang w:val="ar"/>
        </w:rPr>
        <w:lastRenderedPageBreak/>
        <w:t>مَن هُم المعرّضون للخطر</w:t>
      </w:r>
      <w:bookmarkEnd w:id="7"/>
    </w:p>
    <w:p w14:paraId="587389EE" w14:textId="77777777" w:rsidR="349CE291" w:rsidRPr="00CC340C" w:rsidRDefault="00C248AF" w:rsidP="76CA397E">
      <w:pPr>
        <w:bidi/>
        <w:spacing w:beforeAutospacing="1" w:afterAutospacing="1" w:line="240" w:lineRule="auto"/>
        <w:rPr>
          <w:rFonts w:ascii="Noto Sans Arabic" w:eastAsia="Arial" w:hAnsi="Noto Sans Arabic" w:cs="Noto Sans Arabic"/>
          <w:color w:val="000000" w:themeColor="text1"/>
          <w:szCs w:val="21"/>
        </w:rPr>
      </w:pPr>
      <w:r w:rsidRPr="00CC340C">
        <w:rPr>
          <w:rFonts w:ascii="Noto Sans Arabic" w:eastAsia="Arial" w:hAnsi="Noto Sans Arabic" w:cs="Noto Sans Arabic"/>
          <w:color w:val="000000" w:themeColor="text1"/>
          <w:szCs w:val="21"/>
          <w:rtl/>
          <w:lang w:val="ar"/>
        </w:rPr>
        <w:t>يمكن أن يصاب أي شخص لديه تلامس مباشر بالجلد (مثل الاتصال المطول أو الحميم) مع شخص مصاب بـ MPX.</w:t>
      </w:r>
    </w:p>
    <w:p w14:paraId="637F5C1B" w14:textId="77777777" w:rsidR="349CE291" w:rsidRPr="00CC340C" w:rsidRDefault="00C248AF" w:rsidP="76CA397E">
      <w:pPr>
        <w:bidi/>
        <w:spacing w:beforeAutospacing="1" w:afterAutospacing="1" w:line="240" w:lineRule="auto"/>
        <w:rPr>
          <w:rFonts w:ascii="Noto Sans Arabic" w:eastAsia="Arial" w:hAnsi="Noto Sans Arabic" w:cs="Noto Sans Arabic"/>
          <w:color w:val="000000" w:themeColor="text1"/>
          <w:szCs w:val="21"/>
        </w:rPr>
      </w:pPr>
      <w:r w:rsidRPr="00CC340C">
        <w:rPr>
          <w:rFonts w:ascii="Noto Sans Arabic" w:eastAsia="Arial" w:hAnsi="Noto Sans Arabic" w:cs="Noto Sans Arabic"/>
          <w:color w:val="000000" w:themeColor="text1"/>
          <w:szCs w:val="21"/>
          <w:rtl/>
          <w:lang w:val="ar"/>
        </w:rPr>
        <w:t xml:space="preserve">الأشخاص الأكثر عرضة لخطر الإصابة هم الرجال الذين يمارسون الجنس مع رجال، وخاصة أولئك الذين </w:t>
      </w:r>
      <w:r w:rsidRPr="00CC340C">
        <w:rPr>
          <w:rFonts w:ascii="Noto Sans Arabic" w:eastAsia="Arial" w:hAnsi="Noto Sans Arabic" w:cs="Noto Sans Arabic"/>
          <w:color w:val="000000" w:themeColor="text1"/>
          <w:szCs w:val="21"/>
          <w:rtl/>
          <w:lang w:val="ar"/>
        </w:rPr>
        <w:t>يسافرون إلى مناطق تفشي المرض، أو لديهم شركاء جنسيين متعددين أو يحضرون حفلات كبيرة أو يمارسون الجنس في بيوت الدعارة.</w:t>
      </w:r>
    </w:p>
    <w:p w14:paraId="27FD602F" w14:textId="77777777" w:rsidR="349CE291" w:rsidRPr="00EC08C3" w:rsidRDefault="00C248AF" w:rsidP="76CA397E">
      <w:pPr>
        <w:pStyle w:val="Body"/>
        <w:bidi/>
        <w:rPr>
          <w:rFonts w:ascii="Noto Sans Arabic" w:hAnsi="Noto Sans Arabic" w:cs="Noto Sans Arabic"/>
          <w:color w:val="000000" w:themeColor="text1"/>
          <w:lang w:eastAsia="en-GB"/>
        </w:rPr>
      </w:pPr>
      <w:r w:rsidRPr="00CC340C">
        <w:rPr>
          <w:rFonts w:ascii="Noto Sans Arabic" w:eastAsia="Arial" w:hAnsi="Noto Sans Arabic" w:cs="Noto Sans Arabic"/>
          <w:color w:val="000000" w:themeColor="text1"/>
          <w:szCs w:val="21"/>
          <w:rtl/>
          <w:lang w:val="ar"/>
        </w:rPr>
        <w:t>حتى الآن، أصيب معظم الأشخاص المصابين بـ MPX في أستراليا أثناء تواجدهم خارج البلاد ولكن حدث انتقال محلي.</w:t>
      </w:r>
    </w:p>
    <w:p w14:paraId="3E5FC5E3" w14:textId="77777777" w:rsidR="00FF03AC" w:rsidRPr="007620A8" w:rsidRDefault="00C248AF" w:rsidP="00FF03AC">
      <w:pPr>
        <w:pStyle w:val="Heading1"/>
        <w:bidi/>
        <w:rPr>
          <w:rFonts w:ascii="Noto Sans Arabic" w:hAnsi="Noto Sans Arabic" w:cs="Noto Sans Arabic"/>
        </w:rPr>
      </w:pPr>
      <w:bookmarkStart w:id="8" w:name="_Toc104371287"/>
      <w:r w:rsidRPr="007620A8">
        <w:rPr>
          <w:rFonts w:ascii="Noto Sans Arabic" w:hAnsi="Noto Sans Arabic" w:cs="Noto Sans Arabic"/>
          <w:rtl/>
          <w:lang w:val="ar"/>
        </w:rPr>
        <w:t>ماذا تفعل إذا ظهرت عليك أعراض جدري ا</w:t>
      </w:r>
      <w:r w:rsidRPr="007620A8">
        <w:rPr>
          <w:rFonts w:ascii="Noto Sans Arabic" w:hAnsi="Noto Sans Arabic" w:cs="Noto Sans Arabic"/>
          <w:rtl/>
          <w:lang w:val="ar"/>
        </w:rPr>
        <w:t>لقرود</w:t>
      </w:r>
      <w:bookmarkEnd w:id="8"/>
    </w:p>
    <w:p w14:paraId="7B3774FF" w14:textId="77777777" w:rsidR="008D1729" w:rsidRPr="00EC08C3" w:rsidRDefault="00C248AF" w:rsidP="0E43994D">
      <w:pPr>
        <w:bidi/>
        <w:spacing w:before="100" w:beforeAutospacing="1" w:after="100" w:afterAutospacing="1" w:line="240" w:lineRule="auto"/>
        <w:rPr>
          <w:rFonts w:ascii="Noto Sans Arabic" w:hAnsi="Noto Sans Arabic" w:cs="Noto Sans Arabic"/>
          <w:color w:val="000000" w:themeColor="text1"/>
          <w:lang w:eastAsia="en-GB"/>
        </w:rPr>
      </w:pPr>
      <w:r w:rsidRPr="00EC08C3">
        <w:rPr>
          <w:rFonts w:ascii="Noto Sans Arabic" w:eastAsia="Arial" w:hAnsi="Noto Sans Arabic" w:cs="Noto Sans Arabic"/>
          <w:color w:val="000000" w:themeColor="text1"/>
          <w:szCs w:val="21"/>
          <w:rtl/>
          <w:lang w:val="ar"/>
        </w:rPr>
        <w:t xml:space="preserve">إذا ظهرت عليك أعراض فيروس MPX، فيجب عليك البقاء في المنزل، والحد من التواصل مع الآخرين، وطلب الرعاية الطبية والاختبار دون تأخير. </w:t>
      </w:r>
    </w:p>
    <w:p w14:paraId="19904B2F" w14:textId="77777777" w:rsidR="008D1729" w:rsidRPr="007620A8" w:rsidRDefault="00C248AF" w:rsidP="62F6D9B4">
      <w:pPr>
        <w:bidi/>
        <w:spacing w:before="100" w:beforeAutospacing="1" w:after="100" w:afterAutospacing="1" w:line="240" w:lineRule="auto"/>
        <w:rPr>
          <w:rFonts w:ascii="Noto Sans Arabic" w:hAnsi="Noto Sans Arabic" w:cs="Noto Sans Arabic"/>
          <w:color w:val="222222"/>
          <w:lang w:eastAsia="en-GB"/>
        </w:rPr>
      </w:pPr>
      <w:r w:rsidRPr="00EC08C3">
        <w:rPr>
          <w:rFonts w:ascii="Noto Sans Arabic" w:hAnsi="Noto Sans Arabic" w:cs="Noto Sans Arabic"/>
          <w:color w:val="000000" w:themeColor="text1"/>
          <w:rtl/>
          <w:lang w:val="ar" w:eastAsia="en-GB"/>
        </w:rPr>
        <w:t>ارتدِ كمامة واتصل بطبيبك أو بأقرب مستشفى لإخبارهم بأنك ذاهباً إليهم. إذا كنت تعاني من طفح جلدي أو بثور، فتأكد من تغطيتها</w:t>
      </w:r>
      <w:r w:rsidRPr="00EC08C3">
        <w:rPr>
          <w:rFonts w:ascii="Noto Sans Arabic" w:hAnsi="Noto Sans Arabic" w:cs="Noto Sans Arabic"/>
          <w:color w:val="000000" w:themeColor="text1"/>
          <w:rtl/>
          <w:lang w:val="ar" w:eastAsia="en-GB"/>
        </w:rPr>
        <w:t>.</w:t>
      </w:r>
    </w:p>
    <w:p w14:paraId="4FA0F6F5" w14:textId="77777777" w:rsidR="00F059F2" w:rsidRPr="007620A8" w:rsidRDefault="00C248AF" w:rsidP="00F059F2">
      <w:pPr>
        <w:pStyle w:val="Heading1"/>
        <w:bidi/>
        <w:rPr>
          <w:rFonts w:ascii="Noto Sans Arabic" w:hAnsi="Noto Sans Arabic" w:cs="Noto Sans Arabic"/>
          <w:lang w:eastAsia="en-GB"/>
        </w:rPr>
      </w:pPr>
      <w:r w:rsidRPr="007620A8">
        <w:rPr>
          <w:rFonts w:ascii="Noto Sans Arabic" w:hAnsi="Noto Sans Arabic" w:cs="Noto Sans Arabic"/>
          <w:rtl/>
          <w:lang w:val="ar" w:eastAsia="en-GB"/>
        </w:rPr>
        <w:t>ماذا يجب أن تفعل إذا كنت حالة مصابة</w:t>
      </w:r>
    </w:p>
    <w:p w14:paraId="6D2EE746" w14:textId="77777777" w:rsidR="00F059F2" w:rsidRPr="00EC08C3" w:rsidRDefault="00C248AF" w:rsidP="00F059F2">
      <w:pPr>
        <w:pStyle w:val="Body"/>
        <w:bidi/>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 xml:space="preserve">يجب على الأشخاص المصابين بفيروس MPX تجنب الاتصال بالآخرين، وخاصة الأطفال والنساء الحوامل والأشخاص الذين يعانون من ضعف في جهاز المناعة. وهذا يشمل مشاركة الفراش والنشاط الجنسي. </w:t>
      </w:r>
    </w:p>
    <w:p w14:paraId="3B6B5334" w14:textId="77777777" w:rsidR="00F059F2" w:rsidRPr="00EC08C3" w:rsidRDefault="00C248AF" w:rsidP="00F059F2">
      <w:pPr>
        <w:pStyle w:val="Body"/>
        <w:bidi/>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يجب أيضًا تجنب ملامسة الحيوانات بما في ذلك</w:t>
      </w:r>
      <w:r w:rsidRPr="00EC08C3">
        <w:rPr>
          <w:rFonts w:ascii="Noto Sans Arabic" w:hAnsi="Noto Sans Arabic" w:cs="Noto Sans Arabic"/>
          <w:color w:val="000000" w:themeColor="text1"/>
          <w:rtl/>
          <w:lang w:val="ar" w:eastAsia="en-GB"/>
        </w:rPr>
        <w:t xml:space="preserve"> الحيوانات الأليفة، نظرًا لخطر انتقال المرض من الإنسان إلى الحيوان.</w:t>
      </w:r>
    </w:p>
    <w:p w14:paraId="1F63C596" w14:textId="77777777" w:rsidR="00F059F2" w:rsidRPr="00EC08C3" w:rsidRDefault="00C248AF" w:rsidP="00F059F2">
      <w:pPr>
        <w:pStyle w:val="Body"/>
        <w:bidi/>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تجنب ملامسة الآخرين حتى تلتئم الآفات الجلدية بطبقة جديدة من الجلد تتشكل تحتها. تأكد من أن يكون لديك موعد للمتابعة مع طبيبك المعالج حيث يمنحك التصريح بالخلو من المرض والمزيد من النصائح الطب</w:t>
      </w:r>
      <w:r w:rsidRPr="00EC08C3">
        <w:rPr>
          <w:rFonts w:ascii="Noto Sans Arabic" w:hAnsi="Noto Sans Arabic" w:cs="Noto Sans Arabic"/>
          <w:color w:val="000000" w:themeColor="text1"/>
          <w:rtl/>
          <w:lang w:val="ar" w:eastAsia="en-GB"/>
        </w:rPr>
        <w:t>ية إذا لزم الأمر.</w:t>
      </w:r>
    </w:p>
    <w:p w14:paraId="519FE136" w14:textId="77777777" w:rsidR="00F059F2" w:rsidRPr="007620A8" w:rsidRDefault="00C248AF" w:rsidP="00F059F2">
      <w:pPr>
        <w:pStyle w:val="Body"/>
        <w:bidi/>
        <w:rPr>
          <w:rFonts w:ascii="Noto Sans Arabic" w:hAnsi="Noto Sans Arabic" w:cs="Noto Sans Arabic"/>
          <w:lang w:eastAsia="en-GB"/>
        </w:rPr>
      </w:pPr>
      <w:r w:rsidRPr="00EC08C3">
        <w:rPr>
          <w:rFonts w:ascii="Noto Sans Arabic" w:hAnsi="Noto Sans Arabic" w:cs="Noto Sans Arabic"/>
          <w:color w:val="000000" w:themeColor="text1"/>
          <w:rtl/>
          <w:lang w:val="ar" w:eastAsia="en-GB"/>
        </w:rPr>
        <w:t>سيتصل بك أحد موظفي وزارة الصحة أو وحدة الصحة العامة المحلية بانتظام لمعرفة كيف تسير الأمور معك.</w:t>
      </w:r>
    </w:p>
    <w:p w14:paraId="7D8FA6A9" w14:textId="77777777" w:rsidR="00F059F2" w:rsidRPr="007620A8" w:rsidRDefault="00C248AF" w:rsidP="00F059F2">
      <w:pPr>
        <w:pStyle w:val="Heading1"/>
        <w:bidi/>
        <w:rPr>
          <w:rFonts w:ascii="Noto Sans Arabic" w:hAnsi="Noto Sans Arabic" w:cs="Noto Sans Arabic"/>
        </w:rPr>
      </w:pPr>
      <w:r w:rsidRPr="007620A8">
        <w:rPr>
          <w:rFonts w:ascii="Noto Sans Arabic" w:hAnsi="Noto Sans Arabic" w:cs="Noto Sans Arabic"/>
          <w:rtl/>
          <w:lang w:val="ar"/>
        </w:rPr>
        <w:t>ماذا يجب أن تفعل إذا كنت تشكل خطر عالي لتعرضك لحالة مصابة</w:t>
      </w:r>
    </w:p>
    <w:p w14:paraId="0AF99DA1" w14:textId="77777777" w:rsidR="00F059F2" w:rsidRPr="00EC08C3" w:rsidRDefault="00C248AF" w:rsidP="00F059F2">
      <w:pPr>
        <w:pStyle w:val="Body"/>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إذا تم تعريفك على أنك شخص يشكل خطر عالي لتعرضه لحالة مصابة، فهذا يعني أنك كنت على ات</w:t>
      </w:r>
      <w:r w:rsidRPr="00EC08C3">
        <w:rPr>
          <w:rFonts w:ascii="Noto Sans Arabic" w:hAnsi="Noto Sans Arabic" w:cs="Noto Sans Arabic"/>
          <w:color w:val="000000" w:themeColor="text1"/>
          <w:rtl/>
          <w:lang w:val="ar"/>
        </w:rPr>
        <w:t>صال وثيق بشخص مصاب بـ MPX عندما كان معديًا، مما يعرضك لخطر الإصابة.</w:t>
      </w:r>
    </w:p>
    <w:p w14:paraId="2520E343" w14:textId="77777777" w:rsidR="00F059F2" w:rsidRPr="00EC08C3" w:rsidRDefault="00C248AF" w:rsidP="00F059F2">
      <w:pPr>
        <w:pStyle w:val="Body"/>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lastRenderedPageBreak/>
        <w:t>تتابع وحدات الصحة العامة المحلية (LPHUs) جهات الاتصال عالية الخطورة لإبلاغهم بضرورة مراقبة الأعراض واتباع الاحتياطات. ستحتاج إلى مراقبة الأعراض لمدة 21 يوم بعد التعرُّض. في بعض الحالات، قد</w:t>
      </w:r>
      <w:r w:rsidRPr="00EC08C3">
        <w:rPr>
          <w:rFonts w:ascii="Noto Sans Arabic" w:hAnsi="Noto Sans Arabic" w:cs="Noto Sans Arabic"/>
          <w:color w:val="000000" w:themeColor="text1"/>
          <w:rtl/>
          <w:lang w:val="ar"/>
        </w:rPr>
        <w:t xml:space="preserve"> يُعرض عليك لقاح بعد التعرض لحالة مصابة لتقليل خطر الإصابة بـ MPX.</w:t>
      </w:r>
    </w:p>
    <w:p w14:paraId="79BB3689" w14:textId="77777777" w:rsidR="00F059F2" w:rsidRPr="00EC08C3" w:rsidRDefault="00C248AF" w:rsidP="00F059F2">
      <w:pPr>
        <w:pStyle w:val="Body"/>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سيتصل بك مسؤول الصحة العامة من LPHU بانتظام خلال هذا الوقت للتحقق من حالتك ومعرفة ما إذا كنت قد ظهرت عليك أي أعراض.</w:t>
      </w:r>
    </w:p>
    <w:p w14:paraId="1E2824A0" w14:textId="77777777" w:rsidR="00F059F2" w:rsidRPr="00EC08C3" w:rsidRDefault="00C248AF" w:rsidP="00F059F2">
      <w:pPr>
        <w:pStyle w:val="Body"/>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بالإضافة إلى ذلك، لمدة 21 يومًا بعد التعرض، يجب عليك:</w:t>
      </w:r>
    </w:p>
    <w:p w14:paraId="0511D589"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تجنب التواصل الوثيق</w:t>
      </w:r>
      <w:r w:rsidRPr="00EC08C3">
        <w:rPr>
          <w:rFonts w:ascii="Noto Sans Arabic" w:hAnsi="Noto Sans Arabic" w:cs="Noto Sans Arabic"/>
          <w:color w:val="000000" w:themeColor="text1"/>
          <w:rtl/>
          <w:lang w:val="ar"/>
        </w:rPr>
        <w:t xml:space="preserve"> مع الآخرين، وخاصة أولئك المعرضين لخطر الإصابة بأمراض خطيرة مثل الأطفال والحوامل والأشخاص الذين يعانون من ضعف في جهاز المناعة</w:t>
      </w:r>
    </w:p>
    <w:p w14:paraId="1839A038"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 xml:space="preserve">لا تقم بزيارة الأماكن عالية الخطورة مثل رعاية الأطفال ورعاية المسنين ومرافق الرعاية الصحية ما لم تطلب الرعاية الطبية </w:t>
      </w:r>
    </w:p>
    <w:p w14:paraId="75C447B4"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العمل من الم</w:t>
      </w:r>
      <w:r w:rsidRPr="00EC08C3">
        <w:rPr>
          <w:rFonts w:ascii="Noto Sans Arabic" w:hAnsi="Noto Sans Arabic" w:cs="Noto Sans Arabic"/>
          <w:color w:val="000000" w:themeColor="text1"/>
          <w:rtl/>
          <w:lang w:val="ar"/>
        </w:rPr>
        <w:t>نزل إن أمكن (ستقدم LPHUS المشورة على أساس كل حالة على حدة للعاملين في أماكن مثل رعاية الأطفال ورعاية المسنين ومرافق الرعاية الصحية الذين يحتاجون إلى حضور العمل)</w:t>
      </w:r>
    </w:p>
    <w:p w14:paraId="05FFA98C"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 xml:space="preserve">تجنب النشاط الجنسي </w:t>
      </w:r>
    </w:p>
    <w:p w14:paraId="3C181BBA"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تجنب ملامسة الحيوانات، وخاصة الكلاب والقوارض (مثل الفئران والجرذان والهامست</w:t>
      </w:r>
      <w:r w:rsidRPr="00EC08C3">
        <w:rPr>
          <w:rFonts w:ascii="Noto Sans Arabic" w:hAnsi="Noto Sans Arabic" w:cs="Noto Sans Arabic"/>
          <w:color w:val="000000" w:themeColor="text1"/>
          <w:rtl/>
          <w:lang w:val="ar"/>
        </w:rPr>
        <w:t>ر والجربوع وخنازير غينيا والسناجب)</w:t>
      </w:r>
    </w:p>
    <w:p w14:paraId="03EC8D6F"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 xml:space="preserve">حافظ على مسافة 1.5 متر في جميع الأوقات من الآخرين بما في ذلك في المنزل. </w:t>
      </w:r>
    </w:p>
    <w:p w14:paraId="24FA8D27"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ارتدِ كمامة طبية عندما تكون في نفس الغرفة مع الأشخاص الآخرين وعندما تكون خارج المنزل</w:t>
      </w:r>
    </w:p>
    <w:p w14:paraId="3B05E2FE" w14:textId="77777777" w:rsidR="00F059F2" w:rsidRPr="00EC08C3" w:rsidRDefault="00C248AF" w:rsidP="00F059F2">
      <w:pPr>
        <w:pStyle w:val="Bullet1"/>
        <w:bidi/>
        <w:rPr>
          <w:rFonts w:ascii="Noto Sans Arabic" w:hAnsi="Noto Sans Arabic" w:cs="Noto Sans Arabic"/>
          <w:color w:val="000000" w:themeColor="text1"/>
        </w:rPr>
      </w:pPr>
      <w:r w:rsidRPr="00EC08C3">
        <w:rPr>
          <w:rFonts w:ascii="Noto Sans Arabic" w:hAnsi="Noto Sans Arabic" w:cs="Noto Sans Arabic"/>
          <w:color w:val="000000" w:themeColor="text1"/>
          <w:rtl/>
          <w:lang w:val="ar"/>
        </w:rPr>
        <w:t>لا تتبرع بالدم أو الخلايا أو الأنسجة أو حليب الثدي أو السائل ال</w:t>
      </w:r>
      <w:r w:rsidRPr="00EC08C3">
        <w:rPr>
          <w:rFonts w:ascii="Noto Sans Arabic" w:hAnsi="Noto Sans Arabic" w:cs="Noto Sans Arabic"/>
          <w:color w:val="000000" w:themeColor="text1"/>
          <w:rtl/>
          <w:lang w:val="ar"/>
        </w:rPr>
        <w:t>منوي أو الأعضاء</w:t>
      </w:r>
    </w:p>
    <w:p w14:paraId="6BE1EB3C" w14:textId="77777777" w:rsidR="002D7D39" w:rsidRPr="007620A8" w:rsidRDefault="00C248AF" w:rsidP="002D7D39">
      <w:pPr>
        <w:pStyle w:val="Heading1"/>
        <w:bidi/>
        <w:rPr>
          <w:rFonts w:ascii="Noto Sans Arabic" w:hAnsi="Noto Sans Arabic" w:cs="Noto Sans Arabic"/>
        </w:rPr>
      </w:pPr>
      <w:bookmarkStart w:id="9" w:name="_Toc104371288"/>
      <w:r w:rsidRPr="007620A8">
        <w:rPr>
          <w:rFonts w:ascii="Noto Sans Arabic" w:hAnsi="Noto Sans Arabic" w:cs="Noto Sans Arabic"/>
          <w:rtl/>
          <w:lang w:val="ar"/>
        </w:rPr>
        <w:t>ما هي طرُق الوقاية من جدرى القرود</w:t>
      </w:r>
      <w:bookmarkEnd w:id="9"/>
    </w:p>
    <w:p w14:paraId="550A4924" w14:textId="77777777" w:rsidR="0042486E" w:rsidRPr="00EC08C3" w:rsidRDefault="00C248AF" w:rsidP="76CA397E">
      <w:pPr>
        <w:bidi/>
        <w:spacing w:before="100" w:beforeAutospacing="1" w:after="100" w:afterAutospacing="1" w:line="240" w:lineRule="auto"/>
        <w:rPr>
          <w:rFonts w:ascii="Noto Sans Arabic" w:hAnsi="Noto Sans Arabic" w:cs="Noto Sans Arabic"/>
          <w:color w:val="000000" w:themeColor="text1"/>
          <w:lang w:eastAsia="en-GB"/>
        </w:rPr>
      </w:pPr>
      <w:r w:rsidRPr="00EC08C3">
        <w:rPr>
          <w:rFonts w:ascii="Noto Sans Arabic" w:hAnsi="Noto Sans Arabic" w:cs="Noto Sans Arabic"/>
          <w:color w:val="000000" w:themeColor="text1"/>
          <w:rtl/>
          <w:lang w:val="ar" w:eastAsia="en-GB"/>
        </w:rPr>
        <w:t>تجنّب الاتصال الوثيق مع الأشخاص المشتبه أو المؤكد اصابتهم بجدرى القرود. يشمل ذلك ملامسة أي مواد يحتمل أن تكون ملوثة، مثل الفراش والمناشف، التي لمسها شخص مصاب. من المهم توخي الحذر واتخاذ تدابير النظافة بما ف</w:t>
      </w:r>
      <w:r w:rsidRPr="00EC08C3">
        <w:rPr>
          <w:rFonts w:ascii="Noto Sans Arabic" w:hAnsi="Noto Sans Arabic" w:cs="Noto Sans Arabic"/>
          <w:color w:val="000000" w:themeColor="text1"/>
          <w:rtl/>
          <w:lang w:val="ar" w:eastAsia="en-GB"/>
        </w:rPr>
        <w:t>ي ذلك غسل اليدين بالماء والصابون أو المطهرات التي تحتوي على الكحول.</w:t>
      </w:r>
    </w:p>
    <w:p w14:paraId="06A4DD19" w14:textId="77777777" w:rsidR="76CA397E" w:rsidRPr="00EC08C3" w:rsidRDefault="00C248AF" w:rsidP="00F059F2">
      <w:pPr>
        <w:pStyle w:val="Body"/>
        <w:bidi/>
        <w:spacing w:before="100"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 xml:space="preserve"> يمكن أيضًا الوقاية من MPX عن طريق الحد من عدد الشركاء الجنسيين والتأكد من حصولك على تفاصيل الاتصال الخاصة بهم، حتى يتم تطعيمك بالكامل. التطعيم سوف يحمي الناس أيضًا من فيروس MPX.</w:t>
      </w:r>
    </w:p>
    <w:p w14:paraId="7DC2B496" w14:textId="77777777" w:rsidR="76CA397E" w:rsidRPr="007620A8" w:rsidRDefault="00C248AF" w:rsidP="00F059F2">
      <w:pPr>
        <w:pStyle w:val="Heading1"/>
        <w:bidi/>
        <w:spacing w:beforeAutospacing="1" w:afterAutospacing="1" w:line="240" w:lineRule="auto"/>
        <w:rPr>
          <w:rFonts w:ascii="Noto Sans Arabic" w:eastAsia="Times New Roman" w:hAnsi="Noto Sans Arabic" w:cs="Noto Sans Arabic"/>
          <w:strike/>
          <w:color w:val="222222"/>
          <w:sz w:val="21"/>
          <w:szCs w:val="21"/>
          <w:lang w:eastAsia="en-GB"/>
        </w:rPr>
      </w:pPr>
      <w:bookmarkStart w:id="10" w:name="_Toc104371289"/>
      <w:r w:rsidRPr="007620A8">
        <w:rPr>
          <w:rFonts w:ascii="Noto Sans Arabic" w:hAnsi="Noto Sans Arabic" w:cs="Noto Sans Arabic"/>
          <w:rtl/>
          <w:lang w:val="ar"/>
        </w:rPr>
        <w:t>علاج جدري</w:t>
      </w:r>
      <w:r w:rsidRPr="007620A8">
        <w:rPr>
          <w:rFonts w:ascii="Noto Sans Arabic" w:hAnsi="Noto Sans Arabic" w:cs="Noto Sans Arabic"/>
          <w:rtl/>
          <w:lang w:val="ar"/>
        </w:rPr>
        <w:t xml:space="preserve"> القرود</w:t>
      </w:r>
      <w:bookmarkEnd w:id="10"/>
    </w:p>
    <w:p w14:paraId="3196DAA6" w14:textId="77777777" w:rsidR="0042486E" w:rsidRPr="00EC08C3" w:rsidRDefault="00C248AF" w:rsidP="0042486E">
      <w:p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علاج جدري القرود داعم بشكل أساسي. عادة ما يكون المرض خفيفًا وعادة ما يستغرق التعافي بضعة أسابيع.</w:t>
      </w:r>
    </w:p>
    <w:p w14:paraId="034EEB66" w14:textId="77777777" w:rsidR="00ED035E" w:rsidRPr="007620A8" w:rsidRDefault="00C248AF" w:rsidP="00ED035E">
      <w:pPr>
        <w:pStyle w:val="Heading1"/>
        <w:bidi/>
        <w:rPr>
          <w:rFonts w:ascii="Noto Sans Arabic" w:hAnsi="Noto Sans Arabic" w:cs="Noto Sans Arabic"/>
        </w:rPr>
      </w:pPr>
      <w:bookmarkStart w:id="11" w:name="_Toc104371290"/>
      <w:r w:rsidRPr="007620A8">
        <w:rPr>
          <w:rFonts w:ascii="Noto Sans Arabic" w:hAnsi="Noto Sans Arabic" w:cs="Noto Sans Arabic"/>
          <w:rtl/>
          <w:lang w:val="ar"/>
        </w:rPr>
        <w:lastRenderedPageBreak/>
        <w:t>التطعيم ضد جدرى القرود</w:t>
      </w:r>
      <w:bookmarkEnd w:id="11"/>
    </w:p>
    <w:p w14:paraId="05A95A69" w14:textId="77777777" w:rsidR="00AD6239" w:rsidRPr="007620A8" w:rsidRDefault="00C248AF" w:rsidP="00AD6239">
      <w:pPr>
        <w:bidi/>
        <w:rPr>
          <w:rStyle w:val="contentpasted0"/>
          <w:rFonts w:ascii="Noto Sans Arabic" w:eastAsia="MS Gothic" w:hAnsi="Noto Sans Arabic" w:cs="Noto Sans Arabic"/>
          <w:sz w:val="22"/>
        </w:rPr>
      </w:pPr>
      <w:r w:rsidRPr="00EC08C3">
        <w:rPr>
          <w:rStyle w:val="contentpasted0"/>
          <w:rFonts w:ascii="Noto Sans Arabic" w:eastAsia="MS Gothic" w:hAnsi="Noto Sans Arabic" w:cs="Noto Sans Arabic"/>
          <w:color w:val="000000" w:themeColor="text1"/>
          <w:rtl/>
          <w:lang w:val="ar"/>
        </w:rPr>
        <w:t>في ولاية فيكتوريا، يتوفر لقاح MPX (لقاح JYNNEOS</w:t>
      </w:r>
      <w:r w:rsidRPr="00EC08C3">
        <w:rPr>
          <w:rStyle w:val="contentpasted0"/>
          <w:rFonts w:ascii="Calibri" w:eastAsia="MS Gothic" w:hAnsi="Calibri" w:cs="Calibri" w:hint="cs"/>
          <w:color w:val="000000" w:themeColor="text1"/>
          <w:rtl/>
          <w:lang w:val="ar"/>
        </w:rPr>
        <w:t>®</w:t>
      </w:r>
      <w:r w:rsidRPr="00EC08C3">
        <w:rPr>
          <w:rStyle w:val="contentpasted0"/>
          <w:rFonts w:ascii="Noto Sans Arabic" w:eastAsia="MS Gothic" w:hAnsi="Noto Sans Arabic" w:cs="Noto Sans Arabic"/>
          <w:color w:val="000000" w:themeColor="text1"/>
          <w:rtl/>
          <w:lang w:val="ar"/>
        </w:rPr>
        <w:t xml:space="preserve">) مجانًا لمجموعات محددة ذات أولوية، وفي الخدمات الصحية المختارة، وعيادات الصحة </w:t>
      </w:r>
      <w:r w:rsidRPr="00EC08C3">
        <w:rPr>
          <w:rStyle w:val="contentpasted0"/>
          <w:rFonts w:ascii="Noto Sans Arabic" w:eastAsia="MS Gothic" w:hAnsi="Noto Sans Arabic" w:cs="Noto Sans Arabic"/>
          <w:color w:val="000000" w:themeColor="text1"/>
          <w:rtl/>
          <w:lang w:val="ar"/>
        </w:rPr>
        <w:t>الجنسية ومن خلال وحدات الصحة العامة المحلية. اتصل بطبيبك العام أو عيادة الصحة الجنسية أو وحدة الصحة العامة المحلية لمناقشة ما إذا كان لقاح MPX مناسبًا لك وما إذا كان هناك أي تكلفة تتحملها.</w:t>
      </w:r>
      <w:r w:rsidRPr="00EC08C3">
        <w:rPr>
          <w:rStyle w:val="contentpasted0"/>
          <w:rFonts w:ascii="Noto Sans Arabic" w:eastAsia="MS Gothic" w:hAnsi="Noto Sans Arabic" w:cs="Noto Sans Arabic"/>
          <w:color w:val="000000" w:themeColor="text1"/>
          <w:rtl/>
          <w:lang w:val="ar"/>
        </w:rPr>
        <w:br/>
        <w:t xml:space="preserve">إذا كنت تستوفي </w:t>
      </w:r>
      <w:hyperlink r:id="rId15" w:anchor="vaccination" w:history="1">
        <w:r w:rsidRPr="007620A8">
          <w:rPr>
            <w:rStyle w:val="Hyperlink"/>
            <w:rFonts w:ascii="Noto Sans Arabic" w:eastAsia="MS Gothic" w:hAnsi="Noto Sans Arabic" w:cs="Noto Sans Arabic"/>
            <w:rtl/>
            <w:lang w:val="ar"/>
          </w:rPr>
          <w:t>معايير الأهلية</w:t>
        </w:r>
      </w:hyperlink>
      <w:r w:rsidRPr="007620A8">
        <w:rPr>
          <w:rStyle w:val="contentpasted0"/>
          <w:rFonts w:ascii="Noto Sans Arabic" w:eastAsia="MS Gothic" w:hAnsi="Noto Sans Arabic" w:cs="Noto Sans Arabic"/>
          <w:rtl/>
          <w:lang w:val="ar"/>
        </w:rPr>
        <w:t xml:space="preserve"> وترغب في أن يتم إخطارك بالمواعيد المستقبلية، فقم بتسجيل بياناتك في </w:t>
      </w:r>
      <w:hyperlink r:id="rId16" w:history="1">
        <w:r w:rsidRPr="007620A8">
          <w:rPr>
            <w:rStyle w:val="Hyperlink"/>
            <w:rFonts w:ascii="Noto Sans Arabic" w:eastAsia="MS Gothic" w:hAnsi="Noto Sans Arabic" w:cs="Noto Sans Arabic"/>
            <w:rtl/>
            <w:lang w:val="ar"/>
          </w:rPr>
          <w:t>النموذج عبر الإنترنت</w:t>
        </w:r>
      </w:hyperlink>
      <w:r w:rsidRPr="007620A8">
        <w:rPr>
          <w:rStyle w:val="contentpasted0"/>
          <w:rFonts w:ascii="Noto Sans Arabic" w:eastAsia="MS Gothic" w:hAnsi="Noto Sans Arabic" w:cs="Noto Sans Arabic"/>
          <w:rtl/>
          <w:lang w:val="ar"/>
        </w:rPr>
        <w:t>. </w:t>
      </w:r>
    </w:p>
    <w:p w14:paraId="4CFE2405" w14:textId="77777777" w:rsidR="0042486E" w:rsidRPr="007620A8" w:rsidRDefault="00C248AF" w:rsidP="0042486E">
      <w:pPr>
        <w:pStyle w:val="Heading1"/>
        <w:bidi/>
        <w:rPr>
          <w:rFonts w:ascii="Noto Sans Arabic" w:hAnsi="Noto Sans Arabic" w:cs="Noto Sans Arabic"/>
        </w:rPr>
      </w:pPr>
      <w:bookmarkStart w:id="12" w:name="_Toc104371291"/>
      <w:r w:rsidRPr="007620A8">
        <w:rPr>
          <w:rFonts w:ascii="Noto Sans Arabic" w:hAnsi="Noto Sans Arabic" w:cs="Noto Sans Arabic"/>
          <w:rtl/>
          <w:lang w:val="ar"/>
        </w:rPr>
        <w:t>أين يمكنك الحصول على المساعدة</w:t>
      </w:r>
      <w:bookmarkEnd w:id="12"/>
    </w:p>
    <w:p w14:paraId="4CB8B54A" w14:textId="77777777" w:rsidR="0042486E" w:rsidRPr="00EC08C3" w:rsidRDefault="00C248AF" w:rsidP="00B80D71">
      <w:pPr>
        <w:numPr>
          <w:ilvl w:val="0"/>
          <w:numId w:val="10"/>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اتصل دائماً بخدم</w:t>
      </w:r>
      <w:r w:rsidRPr="00EC08C3">
        <w:rPr>
          <w:rFonts w:ascii="Noto Sans Arabic" w:hAnsi="Noto Sans Arabic" w:cs="Noto Sans Arabic"/>
          <w:color w:val="000000" w:themeColor="text1"/>
          <w:szCs w:val="21"/>
          <w:rtl/>
          <w:lang w:val="ar" w:eastAsia="en-GB"/>
        </w:rPr>
        <w:t>ة الاسعاف في حالة الطوارئ على رقم (الثلاثة أصفار) ٠٠٠</w:t>
      </w:r>
    </w:p>
    <w:p w14:paraId="650FAE7F" w14:textId="77777777" w:rsidR="0042486E" w:rsidRPr="00EC08C3" w:rsidRDefault="00C248AF" w:rsidP="00B80D71">
      <w:pPr>
        <w:numPr>
          <w:ilvl w:val="0"/>
          <w:numId w:val="10"/>
        </w:numPr>
        <w:bidi/>
        <w:spacing w:before="100" w:beforeAutospacing="1" w:after="100" w:afterAutospacing="1" w:line="240" w:lineRule="auto"/>
        <w:rPr>
          <w:rFonts w:ascii="Noto Sans Arabic" w:hAnsi="Noto Sans Arabic" w:cs="Noto Sans Arabic"/>
          <w:color w:val="000000" w:themeColor="text1"/>
          <w:szCs w:val="21"/>
          <w:lang w:eastAsia="en-GB"/>
        </w:rPr>
      </w:pPr>
      <w:r w:rsidRPr="00EC08C3">
        <w:rPr>
          <w:rFonts w:ascii="Noto Sans Arabic" w:hAnsi="Noto Sans Arabic" w:cs="Noto Sans Arabic"/>
          <w:color w:val="000000" w:themeColor="text1"/>
          <w:szCs w:val="21"/>
          <w:rtl/>
          <w:lang w:val="ar" w:eastAsia="en-GB"/>
        </w:rPr>
        <w:t>قسم الطوارئ في أقرب مستشفى لك</w:t>
      </w:r>
    </w:p>
    <w:p w14:paraId="25A63D71" w14:textId="77777777" w:rsidR="0042486E" w:rsidRPr="00EC08C3" w:rsidRDefault="00C248AF" w:rsidP="00B80D71">
      <w:pPr>
        <w:numPr>
          <w:ilvl w:val="0"/>
          <w:numId w:val="10"/>
        </w:numPr>
        <w:bidi/>
        <w:spacing w:before="100" w:beforeAutospacing="1" w:after="100" w:afterAutospacing="1" w:line="240" w:lineRule="auto"/>
        <w:rPr>
          <w:rFonts w:ascii="Noto Sans Arabic" w:hAnsi="Noto Sans Arabic" w:cs="Noto Sans Arabic"/>
          <w:color w:val="000000" w:themeColor="text1"/>
          <w:szCs w:val="21"/>
          <w:lang w:eastAsia="en-GB"/>
        </w:rPr>
      </w:pPr>
      <w:hyperlink r:id="rId17" w:history="1">
        <w:r w:rsidRPr="00EC08C3">
          <w:rPr>
            <w:rFonts w:ascii="Noto Sans Arabic" w:hAnsi="Noto Sans Arabic" w:cs="Noto Sans Arabic"/>
            <w:color w:val="000000" w:themeColor="text1"/>
            <w:szCs w:val="21"/>
            <w:u w:val="single"/>
            <w:rtl/>
            <w:lang w:val="ar" w:eastAsia="en-GB"/>
          </w:rPr>
          <w:t>طبيبك العمومي (الطبيب)</w:t>
        </w:r>
      </w:hyperlink>
    </w:p>
    <w:p w14:paraId="758FE2D4" w14:textId="77777777" w:rsidR="0042486E" w:rsidRPr="00EC08C3" w:rsidRDefault="00C248AF" w:rsidP="00B80D71">
      <w:pPr>
        <w:numPr>
          <w:ilvl w:val="0"/>
          <w:numId w:val="10"/>
        </w:numPr>
        <w:bidi/>
        <w:spacing w:before="100" w:beforeAutospacing="1" w:after="100" w:afterAutospacing="1" w:line="240" w:lineRule="auto"/>
        <w:rPr>
          <w:rFonts w:ascii="Noto Sans Arabic" w:hAnsi="Noto Sans Arabic" w:cs="Noto Sans Arabic"/>
          <w:color w:val="000000" w:themeColor="text1"/>
          <w:lang w:eastAsia="en-GB"/>
        </w:rPr>
      </w:pPr>
      <w:hyperlink r:id="rId18" w:history="1">
        <w:r w:rsidRPr="00EC08C3">
          <w:rPr>
            <w:rFonts w:ascii="Noto Sans Arabic" w:hAnsi="Noto Sans Arabic" w:cs="Noto Sans Arabic"/>
            <w:color w:val="000000" w:themeColor="text1"/>
            <w:u w:val="single"/>
            <w:rtl/>
            <w:lang w:val="ar" w:eastAsia="en-GB"/>
          </w:rPr>
          <w:t>NURSE-ON-CALL</w:t>
        </w:r>
      </w:hyperlink>
      <w:r w:rsidRPr="00EC08C3">
        <w:rPr>
          <w:rFonts w:ascii="Noto Sans Arabic" w:hAnsi="Noto Sans Arabic" w:cs="Noto Sans Arabic"/>
          <w:color w:val="000000" w:themeColor="text1"/>
          <w:rtl/>
          <w:lang w:val="ar" w:eastAsia="en-GB"/>
        </w:rPr>
        <w:t xml:space="preserve"> هاتف رقم</w:t>
      </w:r>
      <w:hyperlink r:id="rId19" w:history="1">
        <w:r w:rsidRPr="00EC08C3">
          <w:rPr>
            <w:rFonts w:ascii="Noto Sans Arabic" w:hAnsi="Noto Sans Arabic" w:cs="Noto Sans Arabic"/>
            <w:color w:val="000000" w:themeColor="text1"/>
            <w:u w:val="single"/>
            <w:rtl/>
            <w:lang w:val="ar" w:eastAsia="en-GB"/>
          </w:rPr>
          <w:t xml:space="preserve"> ٢٤ ٦٠ ٦٠ ١٣٠٠ </w:t>
        </w:r>
      </w:hyperlink>
      <w:r w:rsidRPr="00EC08C3">
        <w:rPr>
          <w:rFonts w:ascii="Noto Sans Arabic" w:hAnsi="Noto Sans Arabic" w:cs="Noto Sans Arabic"/>
          <w:color w:val="000000" w:themeColor="text1"/>
          <w:rtl/>
          <w:lang w:val="ar" w:eastAsia="en-GB"/>
        </w:rPr>
        <w:t xml:space="preserve"> - للحصول على مشورة صحية سرية من ممرضة مرخصة، ٢٤ ساعة في اليوم، ٧ أيام في الأسبوع</w:t>
      </w:r>
    </w:p>
    <w:p w14:paraId="2BFDC37F" w14:textId="77777777" w:rsidR="3E2FA79A" w:rsidRPr="00EC08C3" w:rsidRDefault="00C248AF" w:rsidP="00B80D71">
      <w:pPr>
        <w:numPr>
          <w:ilvl w:val="0"/>
          <w:numId w:val="10"/>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مركز ملبورن</w:t>
      </w:r>
      <w:r w:rsidRPr="00EC08C3">
        <w:rPr>
          <w:rFonts w:ascii="Noto Sans Arabic" w:eastAsia="Arial" w:hAnsi="Noto Sans Arabic" w:cs="Noto Sans Arabic"/>
          <w:color w:val="000000" w:themeColor="text1"/>
          <w:szCs w:val="21"/>
          <w:rtl/>
          <w:lang w:val="ar"/>
        </w:rPr>
        <w:t xml:space="preserve"> للصحة الجنسية (Melbourne Sexual Health Centre) هاتف رقم ٦٢٠٠ ٩٣٤١ (٠٣) أو ٠١٧ ٠٣٢ ١٨٠٠ أو TTY (لضعاف السمع) ٨٦١٩ ٩٣٤٧ (٠٣)</w:t>
      </w:r>
    </w:p>
    <w:p w14:paraId="4141A8F1" w14:textId="77777777" w:rsidR="3E2FA79A" w:rsidRPr="00EC08C3" w:rsidRDefault="00C248AF" w:rsidP="00B80D71">
      <w:pPr>
        <w:pStyle w:val="ListParagraph"/>
        <w:numPr>
          <w:ilvl w:val="0"/>
          <w:numId w:val="10"/>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ثورن هاربور هيلث (Thorne Harbour Health) هاتف رقم ٦٧٠٠ ٩٨٦٥ (٠٣) أو ٨٤٠ ١٣٤ ١٨٠٠</w:t>
      </w:r>
    </w:p>
    <w:p w14:paraId="0EFAFC2C" w14:textId="77777777" w:rsidR="3E2FA79A" w:rsidRPr="007620A8" w:rsidRDefault="00C248AF" w:rsidP="00B80D71">
      <w:pPr>
        <w:pStyle w:val="ListParagraph"/>
        <w:numPr>
          <w:ilvl w:val="0"/>
          <w:numId w:val="10"/>
        </w:numPr>
        <w:bidi/>
        <w:spacing w:beforeAutospacing="1" w:afterAutospacing="1" w:line="240" w:lineRule="auto"/>
        <w:rPr>
          <w:rFonts w:ascii="Noto Sans Arabic" w:eastAsia="Arial" w:hAnsi="Noto Sans Arabic" w:cs="Noto Sans Arabic"/>
          <w:color w:val="000000" w:themeColor="text1"/>
          <w:szCs w:val="21"/>
        </w:rPr>
      </w:pPr>
      <w:r w:rsidRPr="00EC08C3">
        <w:rPr>
          <w:rFonts w:ascii="Noto Sans Arabic" w:eastAsia="Arial" w:hAnsi="Noto Sans Arabic" w:cs="Noto Sans Arabic"/>
          <w:color w:val="000000" w:themeColor="text1"/>
          <w:szCs w:val="21"/>
          <w:rtl/>
          <w:lang w:val="ar"/>
        </w:rPr>
        <w:t>خدمات الاستشارة والدعم متاحة</w:t>
      </w:r>
      <w:bookmarkStart w:id="13" w:name="_GoBack"/>
      <w:bookmarkEnd w:id="13"/>
      <w:r w:rsidRPr="00EC08C3">
        <w:rPr>
          <w:rFonts w:ascii="Noto Sans Arabic" w:eastAsia="Arial" w:hAnsi="Noto Sans Arabic" w:cs="Noto Sans Arabic"/>
          <w:color w:val="000000" w:themeColor="text1"/>
          <w:szCs w:val="21"/>
          <w:rtl/>
          <w:lang w:val="ar"/>
        </w:rPr>
        <w:t xml:space="preserve"> من خلال طبيبك العام أو الخدمة الصحية. لمزيد من المعلومات، تفضل بزيارة الرابط: </w:t>
      </w:r>
      <w:hyperlink r:id="rId20" w:history="1">
        <w:r w:rsidR="00B80D71" w:rsidRPr="007620A8">
          <w:rPr>
            <w:rStyle w:val="Hyperlink"/>
            <w:rFonts w:ascii="Noto Sans Arabic" w:eastAsia="Arial" w:hAnsi="Noto Sans Arabic" w:cs="Noto Sans Arabic"/>
            <w:szCs w:val="21"/>
            <w:rtl/>
            <w:lang w:val="ar"/>
          </w:rPr>
          <w:t>https://www.betterhealth.vic.gov.au/mental-health-and-wellbeing-hubs</w:t>
        </w:r>
      </w:hyperlink>
    </w:p>
    <w:p w14:paraId="4DA8D68F" w14:textId="77777777" w:rsidR="0E43994D" w:rsidRPr="007620A8" w:rsidRDefault="0E43994D" w:rsidP="76CA397E">
      <w:pPr>
        <w:spacing w:beforeAutospacing="1" w:afterAutospacing="1" w:line="240" w:lineRule="auto"/>
        <w:rPr>
          <w:rFonts w:ascii="Noto Sans Arabic" w:hAnsi="Noto Sans Arabic" w:cs="Noto Sans Arabic"/>
          <w:szCs w:val="21"/>
          <w:lang w:eastAsia="en-GB"/>
        </w:rPr>
      </w:pPr>
    </w:p>
    <w:tbl>
      <w:tblPr>
        <w:tblStyle w:val="TableGrid"/>
        <w:tblW w:w="0" w:type="auto"/>
        <w:tblCellMar>
          <w:bottom w:w="108" w:type="dxa"/>
        </w:tblCellMar>
        <w:tblLook w:val="0600" w:firstRow="0" w:lastRow="0" w:firstColumn="0" w:lastColumn="0" w:noHBand="1" w:noVBand="1"/>
      </w:tblPr>
      <w:tblGrid>
        <w:gridCol w:w="10194"/>
      </w:tblGrid>
      <w:tr w:rsidR="008C66C2" w14:paraId="1548A154" w14:textId="77777777" w:rsidTr="004B2432">
        <w:tc>
          <w:tcPr>
            <w:tcW w:w="10194" w:type="dxa"/>
          </w:tcPr>
          <w:p w14:paraId="701EBB2C" w14:textId="77777777" w:rsidR="008C66C2" w:rsidRPr="0055119B" w:rsidRDefault="008C66C2" w:rsidP="004B2432">
            <w:pPr>
              <w:pStyle w:val="Imprint"/>
            </w:pPr>
            <w:bookmarkStart w:id="14" w:name="_Hlk37240926"/>
            <w:r w:rsidRPr="0055119B">
              <w:rPr>
                <w:lang w:val="id"/>
              </w:rPr>
              <w:t>Authorised and published by the Victorian Government, 1 Treasury Place, Melbourne.</w:t>
            </w:r>
          </w:p>
          <w:p w14:paraId="65FF7C18" w14:textId="77777777" w:rsidR="008C66C2" w:rsidRDefault="008C66C2" w:rsidP="004B2432">
            <w:pPr>
              <w:pStyle w:val="Imprint"/>
            </w:pPr>
            <w:r>
              <w:rPr>
                <w:lang w:val="id"/>
              </w:rPr>
              <w:t>© State of Victoria, Australia, Department of Health, October 2022.</w:t>
            </w:r>
          </w:p>
        </w:tc>
      </w:tr>
      <w:bookmarkEnd w:id="14"/>
    </w:tbl>
    <w:p w14:paraId="444EF25F" w14:textId="74184A9F" w:rsidR="00162CA9" w:rsidRPr="007620A8" w:rsidRDefault="00162CA9" w:rsidP="00162CA9">
      <w:pPr>
        <w:pStyle w:val="Body"/>
        <w:rPr>
          <w:rFonts w:ascii="Noto Sans Arabic" w:hAnsi="Noto Sans Arabic" w:cs="Noto Sans Arabic"/>
        </w:rPr>
      </w:pPr>
    </w:p>
    <w:sectPr w:rsidR="00162CA9" w:rsidRPr="007620A8"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9EB5" w14:textId="77777777" w:rsidR="00C248AF" w:rsidRDefault="00C248AF">
      <w:pPr>
        <w:spacing w:after="0" w:line="240" w:lineRule="auto"/>
      </w:pPr>
      <w:r>
        <w:separator/>
      </w:r>
    </w:p>
  </w:endnote>
  <w:endnote w:type="continuationSeparator" w:id="0">
    <w:p w14:paraId="03A49414" w14:textId="77777777" w:rsidR="00C248AF" w:rsidRDefault="00C2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D482B5FD-A877-41B2-B1C5-FFB7866ACB3C}"/>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500000000000000"/>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2" w:fontKey="{9D83987A-718A-4911-B9A9-440774967E06}"/>
    <w:embedBold r:id="rId3" w:fontKey="{69DD6F4D-1A8E-4C1F-BA00-096E6F39F886}"/>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1550" w14:textId="77777777" w:rsidR="00E261B3" w:rsidRPr="00F65AA9" w:rsidRDefault="00C248AF" w:rsidP="00F84FA0">
    <w:pPr>
      <w:pStyle w:val="Footer"/>
    </w:pPr>
    <w:r>
      <w:rPr>
        <w:noProof/>
        <w:lang w:val="en-US" w:eastAsia="zh-CN"/>
      </w:rPr>
      <w:drawing>
        <wp:anchor distT="0" distB="0" distL="114300" distR="114300" simplePos="0" relativeHeight="251662336" behindDoc="1" locked="1" layoutInCell="1" allowOverlap="1" wp14:anchorId="3D170961" wp14:editId="37CF9CEA">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956633"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32C38C35" wp14:editId="12E6A6D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40237B" w14:textId="77777777" w:rsidR="00E261B3" w:rsidRPr="00B21F90" w:rsidRDefault="00C248AF" w:rsidP="00B21F90">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c3054336811d08b680b9289e" o:spid="_x0000_s2049" type="#_x0000_t202" alt="{&quot;HashCode&quot;:904758361,&quot;Height&quot;:841.0,&quot;Width&quot;:595.0,&quot;Placement&quot;:&quot;Footer&quot;,&quot;Index&quot;:&quot;Primary&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59264" o:allowincell="f" filled="f" stroked="f" strokeweight="0.5pt">
              <v:textbox inset=",0,,0">
                <w:txbxContent>
                  <w:p w:rsidR="00E261B3" w:rsidRPr="00B21F90" w:rsidP="00B21F90" w14:paraId="0753748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1E86" w14:textId="77777777" w:rsidR="00E261B3" w:rsidRDefault="00C248AF">
    <w:pPr>
      <w:pStyle w:val="Footer"/>
    </w:pPr>
    <w:r>
      <w:rPr>
        <w:noProof/>
        <w:lang w:val="en-US" w:eastAsia="zh-CN"/>
      </w:rPr>
      <mc:AlternateContent>
        <mc:Choice Requires="wps">
          <w:drawing>
            <wp:anchor distT="0" distB="0" distL="114300" distR="114300" simplePos="0" relativeHeight="251660288" behindDoc="0" locked="0" layoutInCell="0" allowOverlap="1" wp14:anchorId="359C75C8" wp14:editId="4E5F390C">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5162C" w14:textId="77777777" w:rsidR="00E261B3" w:rsidRPr="00B21F90" w:rsidRDefault="00C248AF" w:rsidP="00B21F90">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418f4cbe97f099549309dca7" o:spid="_x0000_s2050" type="#_x0000_t202" alt="{&quot;HashCode&quot;:904758361,&quot;Height&quot;:841.0,&quot;Width&quot;:595.0,&quot;Placement&quot;:&quot;Footer&quot;,&quot;Index&quot;:&quot;FirstPage&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43785FC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B783" w14:textId="0F433E85" w:rsidR="00373890" w:rsidRPr="00F65AA9" w:rsidRDefault="00B07FF7" w:rsidP="00F84FA0">
    <w:pPr>
      <w:pStyle w:val="Footer"/>
    </w:pPr>
    <w:r>
      <w:rPr>
        <w:noProof/>
        <w:lang w:val="en-US" w:eastAsia="zh-CN"/>
      </w:rPr>
      <mc:AlternateContent>
        <mc:Choice Requires="wps">
          <w:drawing>
            <wp:anchor distT="0" distB="0" distL="114300" distR="114300" simplePos="0" relativeHeight="251663360" behindDoc="0" locked="0" layoutInCell="0" allowOverlap="1" wp14:anchorId="10B77D82" wp14:editId="21C22B2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A6D60" w14:textId="77777777" w:rsidR="00B07FF7" w:rsidRPr="007620A8" w:rsidRDefault="00C248AF" w:rsidP="00B07FF7">
                          <w:pPr>
                            <w:bidi/>
                            <w:spacing w:after="0"/>
                            <w:jc w:val="center"/>
                            <w:rPr>
                              <w:rFonts w:ascii="Arial Black" w:hAnsi="Arial Black"/>
                              <w:b/>
                              <w:bCs/>
                              <w:color w:val="000000"/>
                              <w:sz w:val="20"/>
                            </w:rPr>
                          </w:pPr>
                          <w:r w:rsidRPr="007620A8">
                            <w:rPr>
                              <w:rFonts w:ascii="Arial Black" w:hAnsi="Arial Black"/>
                              <w:b/>
                              <w:bCs/>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B77D82"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FB29kDhAAAAEAEAAA8AAABkcnMvZG93bnJldi54bWxMT01PwzAMvSPxHyIjcWPpYBTWNZ0Q&#10;ExckNDEQ57RxP9bGqZpsa/897gkulv2e/D7S7Wg7ccbBN44ULBcRCKTCmYYqBd9fb3fPIHzQZHTn&#10;CBVM6GGbXV+lOjHuQp94PoRKsAj5RCuoQ+gTKX1Ro9V+4Xok5ko3WB34HCppBn1hcdvJ+yiKpdUN&#10;sUOte3ytsWgPJ6tgtV/npTy29vgxvU9T05Y/u7xU6vZm3G14vGxABBzD3wfMHTg/ZBwsdycyXnQK&#10;uE1gNI5WMYiZX64j3vIZe3x4Apml8n+R7BcAAP//AwBQSwECLQAUAAYACAAAACEAtoM4kv4AAADh&#10;AQAAEwAAAAAAAAAAAAAAAAAAAAAAW0NvbnRlbnRfVHlwZXNdLnhtbFBLAQItABQABgAIAAAAIQA4&#10;/SH/1gAAAJQBAAALAAAAAAAAAAAAAAAAAC8BAABfcmVscy8ucmVsc1BLAQItABQABgAIAAAAIQAy&#10;soOlEAIAAB0EAAAOAAAAAAAAAAAAAAAAAC4CAABkcnMvZTJvRG9jLnhtbFBLAQItABQABgAIAAAA&#10;IQBQdvZA4QAAABABAAAPAAAAAAAAAAAAAAAAAGoEAABkcnMvZG93bnJldi54bWxQSwUGAAAAAAQA&#10;BADzAAAAeAUAAAAA&#10;" o:allowincell="f" filled="f" stroked="f" strokeweight=".5pt">
              <v:textbox inset=",0,,0">
                <w:txbxContent>
                  <w:p w14:paraId="571A6D60" w14:textId="77777777" w:rsidR="00B07FF7" w:rsidRPr="007620A8" w:rsidRDefault="00000000" w:rsidP="00B07FF7">
                    <w:pPr>
                      <w:bidi/>
                      <w:spacing w:after="0"/>
                      <w:jc w:val="center"/>
                      <w:rPr>
                        <w:rFonts w:ascii="Arial Black" w:hAnsi="Arial Black"/>
                        <w:b/>
                        <w:bCs/>
                        <w:color w:val="000000"/>
                        <w:sz w:val="20"/>
                      </w:rPr>
                    </w:pPr>
                    <w:r w:rsidRPr="007620A8">
                      <w:rPr>
                        <w:rFonts w:ascii="Arial Black" w:hAnsi="Arial Black"/>
                        <w:b/>
                        <w:bCs/>
                        <w:color w:val="000000"/>
                        <w:sz w:val="20"/>
                        <w:rtl/>
                        <w:lang w:val="ar"/>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EF11" w14:textId="77777777" w:rsidR="00C248AF" w:rsidRDefault="00C248AF">
      <w:pPr>
        <w:spacing w:after="0" w:line="240" w:lineRule="auto"/>
      </w:pPr>
      <w:r>
        <w:separator/>
      </w:r>
    </w:p>
  </w:footnote>
  <w:footnote w:type="continuationSeparator" w:id="0">
    <w:p w14:paraId="08E21AE6" w14:textId="77777777" w:rsidR="00C248AF" w:rsidRDefault="00C2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C2C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72CDBB4"/>
    <w:multiLevelType w:val="hybridMultilevel"/>
    <w:tmpl w:val="E2F44C72"/>
    <w:lvl w:ilvl="0" w:tplc="7E089DEA">
      <w:start w:val="1"/>
      <w:numFmt w:val="bullet"/>
      <w:lvlText w:val=""/>
      <w:lvlJc w:val="left"/>
      <w:pPr>
        <w:ind w:left="720" w:hanging="360"/>
      </w:pPr>
      <w:rPr>
        <w:rFonts w:ascii="Symbol" w:hAnsi="Symbol" w:hint="default"/>
      </w:rPr>
    </w:lvl>
    <w:lvl w:ilvl="1" w:tplc="BDA6191A">
      <w:start w:val="1"/>
      <w:numFmt w:val="bullet"/>
      <w:lvlText w:val="o"/>
      <w:lvlJc w:val="left"/>
      <w:pPr>
        <w:ind w:left="1440" w:hanging="360"/>
      </w:pPr>
      <w:rPr>
        <w:rFonts w:ascii="Courier New" w:hAnsi="Courier New" w:hint="default"/>
      </w:rPr>
    </w:lvl>
    <w:lvl w:ilvl="2" w:tplc="46C699B8">
      <w:start w:val="1"/>
      <w:numFmt w:val="bullet"/>
      <w:lvlText w:val=""/>
      <w:lvlJc w:val="left"/>
      <w:pPr>
        <w:ind w:left="2160" w:hanging="360"/>
      </w:pPr>
      <w:rPr>
        <w:rFonts w:ascii="Wingdings" w:hAnsi="Wingdings" w:hint="default"/>
      </w:rPr>
    </w:lvl>
    <w:lvl w:ilvl="3" w:tplc="B422F298">
      <w:start w:val="1"/>
      <w:numFmt w:val="bullet"/>
      <w:lvlText w:val=""/>
      <w:lvlJc w:val="left"/>
      <w:pPr>
        <w:ind w:left="2880" w:hanging="360"/>
      </w:pPr>
      <w:rPr>
        <w:rFonts w:ascii="Symbol" w:hAnsi="Symbol" w:hint="default"/>
      </w:rPr>
    </w:lvl>
    <w:lvl w:ilvl="4" w:tplc="5002ACA0">
      <w:start w:val="1"/>
      <w:numFmt w:val="bullet"/>
      <w:lvlText w:val="o"/>
      <w:lvlJc w:val="left"/>
      <w:pPr>
        <w:ind w:left="3600" w:hanging="360"/>
      </w:pPr>
      <w:rPr>
        <w:rFonts w:ascii="Courier New" w:hAnsi="Courier New" w:hint="default"/>
      </w:rPr>
    </w:lvl>
    <w:lvl w:ilvl="5" w:tplc="EB325CE4">
      <w:start w:val="1"/>
      <w:numFmt w:val="bullet"/>
      <w:lvlText w:val=""/>
      <w:lvlJc w:val="left"/>
      <w:pPr>
        <w:ind w:left="4320" w:hanging="360"/>
      </w:pPr>
      <w:rPr>
        <w:rFonts w:ascii="Wingdings" w:hAnsi="Wingdings" w:hint="default"/>
      </w:rPr>
    </w:lvl>
    <w:lvl w:ilvl="6" w:tplc="1E32D430">
      <w:start w:val="1"/>
      <w:numFmt w:val="bullet"/>
      <w:lvlText w:val=""/>
      <w:lvlJc w:val="left"/>
      <w:pPr>
        <w:ind w:left="5040" w:hanging="360"/>
      </w:pPr>
      <w:rPr>
        <w:rFonts w:ascii="Symbol" w:hAnsi="Symbol" w:hint="default"/>
      </w:rPr>
    </w:lvl>
    <w:lvl w:ilvl="7" w:tplc="F2487E1E">
      <w:start w:val="1"/>
      <w:numFmt w:val="bullet"/>
      <w:lvlText w:val="o"/>
      <w:lvlJc w:val="left"/>
      <w:pPr>
        <w:ind w:left="5760" w:hanging="360"/>
      </w:pPr>
      <w:rPr>
        <w:rFonts w:ascii="Courier New" w:hAnsi="Courier New" w:hint="default"/>
      </w:rPr>
    </w:lvl>
    <w:lvl w:ilvl="8" w:tplc="CB32D2EC">
      <w:start w:val="1"/>
      <w:numFmt w:val="bullet"/>
      <w:lvlText w:val=""/>
      <w:lvlJc w:val="left"/>
      <w:pPr>
        <w:ind w:left="6480" w:hanging="360"/>
      </w:pPr>
      <w:rPr>
        <w:rFonts w:ascii="Wingdings" w:hAnsi="Wingdings" w:hint="default"/>
      </w:rPr>
    </w:lvl>
  </w:abstractNum>
  <w:abstractNum w:abstractNumId="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C9D"/>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51C7"/>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3DC5"/>
    <w:rsid w:val="001B42C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1EBE"/>
    <w:rsid w:val="003459BD"/>
    <w:rsid w:val="00350D38"/>
    <w:rsid w:val="00351B36"/>
    <w:rsid w:val="00356314"/>
    <w:rsid w:val="00357B4E"/>
    <w:rsid w:val="00363E2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02"/>
    <w:rsid w:val="003D3E8F"/>
    <w:rsid w:val="003D6475"/>
    <w:rsid w:val="003E375C"/>
    <w:rsid w:val="003E4086"/>
    <w:rsid w:val="003E639E"/>
    <w:rsid w:val="003E71E5"/>
    <w:rsid w:val="003F0445"/>
    <w:rsid w:val="003F0CF0"/>
    <w:rsid w:val="003F14B1"/>
    <w:rsid w:val="003F2B20"/>
    <w:rsid w:val="003F30C3"/>
    <w:rsid w:val="003F3289"/>
    <w:rsid w:val="003F589D"/>
    <w:rsid w:val="003F5CB9"/>
    <w:rsid w:val="004013C7"/>
    <w:rsid w:val="00401FCF"/>
    <w:rsid w:val="0040248F"/>
    <w:rsid w:val="00402916"/>
    <w:rsid w:val="00406285"/>
    <w:rsid w:val="004112C6"/>
    <w:rsid w:val="004148F9"/>
    <w:rsid w:val="00414D4A"/>
    <w:rsid w:val="0042084E"/>
    <w:rsid w:val="00421EEF"/>
    <w:rsid w:val="0042486E"/>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19C"/>
    <w:rsid w:val="00490746"/>
    <w:rsid w:val="00490852"/>
    <w:rsid w:val="00491C9C"/>
    <w:rsid w:val="00492F30"/>
    <w:rsid w:val="004946F4"/>
    <w:rsid w:val="0049487E"/>
    <w:rsid w:val="004A160D"/>
    <w:rsid w:val="004A3E81"/>
    <w:rsid w:val="004A4195"/>
    <w:rsid w:val="004A5C62"/>
    <w:rsid w:val="004A5CE5"/>
    <w:rsid w:val="004A707D"/>
    <w:rsid w:val="004C00A5"/>
    <w:rsid w:val="004C3E02"/>
    <w:rsid w:val="004C5541"/>
    <w:rsid w:val="004C6EEE"/>
    <w:rsid w:val="004C702B"/>
    <w:rsid w:val="004C77EA"/>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42A7"/>
    <w:rsid w:val="00572031"/>
    <w:rsid w:val="00572282"/>
    <w:rsid w:val="00573CE3"/>
    <w:rsid w:val="00576E84"/>
    <w:rsid w:val="00580394"/>
    <w:rsid w:val="005809CD"/>
    <w:rsid w:val="00582B8C"/>
    <w:rsid w:val="0058757E"/>
    <w:rsid w:val="005921A1"/>
    <w:rsid w:val="00592BB8"/>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362"/>
    <w:rsid w:val="005E68B8"/>
    <w:rsid w:val="005F0775"/>
    <w:rsid w:val="005F0CF5"/>
    <w:rsid w:val="005F21EB"/>
    <w:rsid w:val="005F44C0"/>
    <w:rsid w:val="00605908"/>
    <w:rsid w:val="00610D7C"/>
    <w:rsid w:val="00613414"/>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A8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50D"/>
    <w:rsid w:val="0073582E"/>
    <w:rsid w:val="00740F22"/>
    <w:rsid w:val="00741CF0"/>
    <w:rsid w:val="00741F1A"/>
    <w:rsid w:val="007447DA"/>
    <w:rsid w:val="007450F8"/>
    <w:rsid w:val="0074696E"/>
    <w:rsid w:val="00750135"/>
    <w:rsid w:val="00750EC2"/>
    <w:rsid w:val="00752B28"/>
    <w:rsid w:val="007536C8"/>
    <w:rsid w:val="007541A9"/>
    <w:rsid w:val="00754E36"/>
    <w:rsid w:val="007620A8"/>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028A"/>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6C2"/>
    <w:rsid w:val="008C6D51"/>
    <w:rsid w:val="008D172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4D8"/>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3D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10B9"/>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E8C"/>
    <w:rsid w:val="00AA63D4"/>
    <w:rsid w:val="00AB06E8"/>
    <w:rsid w:val="00AB1CD3"/>
    <w:rsid w:val="00AB352F"/>
    <w:rsid w:val="00AC274B"/>
    <w:rsid w:val="00AC4764"/>
    <w:rsid w:val="00AC6D36"/>
    <w:rsid w:val="00AC74B5"/>
    <w:rsid w:val="00AD0CBA"/>
    <w:rsid w:val="00AD177A"/>
    <w:rsid w:val="00AD26E2"/>
    <w:rsid w:val="00AD6239"/>
    <w:rsid w:val="00AD784C"/>
    <w:rsid w:val="00AE126A"/>
    <w:rsid w:val="00AE1BAE"/>
    <w:rsid w:val="00AE3005"/>
    <w:rsid w:val="00AE3BD5"/>
    <w:rsid w:val="00AE59A0"/>
    <w:rsid w:val="00AF0C57"/>
    <w:rsid w:val="00AF26F3"/>
    <w:rsid w:val="00AF4941"/>
    <w:rsid w:val="00AF5F04"/>
    <w:rsid w:val="00B00672"/>
    <w:rsid w:val="00B01B4D"/>
    <w:rsid w:val="00B06571"/>
    <w:rsid w:val="00B068BA"/>
    <w:rsid w:val="00B07FF7"/>
    <w:rsid w:val="00B125B0"/>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D71"/>
    <w:rsid w:val="00B90729"/>
    <w:rsid w:val="00B907DA"/>
    <w:rsid w:val="00B94CD5"/>
    <w:rsid w:val="00B950BC"/>
    <w:rsid w:val="00B953E1"/>
    <w:rsid w:val="00B9714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48AF"/>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340C"/>
    <w:rsid w:val="00CC61F3"/>
    <w:rsid w:val="00CD3476"/>
    <w:rsid w:val="00CD64DF"/>
    <w:rsid w:val="00CE225F"/>
    <w:rsid w:val="00CE5A05"/>
    <w:rsid w:val="00CF2F50"/>
    <w:rsid w:val="00CF6198"/>
    <w:rsid w:val="00D02919"/>
    <w:rsid w:val="00D04C61"/>
    <w:rsid w:val="00D05B8D"/>
    <w:rsid w:val="00D065A2"/>
    <w:rsid w:val="00D079AA"/>
    <w:rsid w:val="00D07F00"/>
    <w:rsid w:val="00D1130F"/>
    <w:rsid w:val="00D17B72"/>
    <w:rsid w:val="00D3185C"/>
    <w:rsid w:val="00D3205F"/>
    <w:rsid w:val="00D3318E"/>
    <w:rsid w:val="00D33CB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18F4"/>
    <w:rsid w:val="00D714CC"/>
    <w:rsid w:val="00D75EA7"/>
    <w:rsid w:val="00D81ADF"/>
    <w:rsid w:val="00D81F21"/>
    <w:rsid w:val="00D864F2"/>
    <w:rsid w:val="00D92F95"/>
    <w:rsid w:val="00D943F8"/>
    <w:rsid w:val="00D94E4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9E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08C3"/>
    <w:rsid w:val="00EC1F24"/>
    <w:rsid w:val="00EC22F6"/>
    <w:rsid w:val="00EC40D5"/>
    <w:rsid w:val="00ED035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59F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2C2C"/>
    <w:rsid w:val="00F76CAB"/>
    <w:rsid w:val="00F772C6"/>
    <w:rsid w:val="00F815B5"/>
    <w:rsid w:val="00F84FA0"/>
    <w:rsid w:val="00F85195"/>
    <w:rsid w:val="00F868E3"/>
    <w:rsid w:val="00F91EE8"/>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0105F61E"/>
    <w:rsid w:val="01651645"/>
    <w:rsid w:val="027159C6"/>
    <w:rsid w:val="04736385"/>
    <w:rsid w:val="05278F63"/>
    <w:rsid w:val="061E5DE3"/>
    <w:rsid w:val="0BDEA59B"/>
    <w:rsid w:val="0C1D9BA8"/>
    <w:rsid w:val="0E43994D"/>
    <w:rsid w:val="0F16465D"/>
    <w:rsid w:val="143FEBA4"/>
    <w:rsid w:val="195BC064"/>
    <w:rsid w:val="1BB6BF21"/>
    <w:rsid w:val="1DAA0E34"/>
    <w:rsid w:val="1FB41DAE"/>
    <w:rsid w:val="2006F351"/>
    <w:rsid w:val="226BF86F"/>
    <w:rsid w:val="25D51CCA"/>
    <w:rsid w:val="2C814A76"/>
    <w:rsid w:val="2CA77D81"/>
    <w:rsid w:val="2DC05325"/>
    <w:rsid w:val="2F61A261"/>
    <w:rsid w:val="30FD72C2"/>
    <w:rsid w:val="3177A907"/>
    <w:rsid w:val="3270E162"/>
    <w:rsid w:val="349CE291"/>
    <w:rsid w:val="363A5A64"/>
    <w:rsid w:val="3753182E"/>
    <w:rsid w:val="386F1543"/>
    <w:rsid w:val="39D2ADB4"/>
    <w:rsid w:val="3E2FA79A"/>
    <w:rsid w:val="4096F687"/>
    <w:rsid w:val="43CC7494"/>
    <w:rsid w:val="44C34BFD"/>
    <w:rsid w:val="4D088208"/>
    <w:rsid w:val="519A0F31"/>
    <w:rsid w:val="51DBF32B"/>
    <w:rsid w:val="5250D838"/>
    <w:rsid w:val="53D6170C"/>
    <w:rsid w:val="551393ED"/>
    <w:rsid w:val="58053CE5"/>
    <w:rsid w:val="584B34AF"/>
    <w:rsid w:val="58769E9D"/>
    <w:rsid w:val="59A83443"/>
    <w:rsid w:val="5E7C6BEF"/>
    <w:rsid w:val="5F1632E3"/>
    <w:rsid w:val="5FBF38F2"/>
    <w:rsid w:val="600ECAA7"/>
    <w:rsid w:val="60183C50"/>
    <w:rsid w:val="615B0953"/>
    <w:rsid w:val="62F6D9B4"/>
    <w:rsid w:val="634FDD12"/>
    <w:rsid w:val="6367283C"/>
    <w:rsid w:val="6481AA49"/>
    <w:rsid w:val="666E5577"/>
    <w:rsid w:val="66877DD4"/>
    <w:rsid w:val="68234E35"/>
    <w:rsid w:val="693BF30F"/>
    <w:rsid w:val="6A24FBC1"/>
    <w:rsid w:val="6B262FA7"/>
    <w:rsid w:val="6B448A14"/>
    <w:rsid w:val="6F083471"/>
    <w:rsid w:val="6F653CC9"/>
    <w:rsid w:val="6F9166FB"/>
    <w:rsid w:val="75F7FD5F"/>
    <w:rsid w:val="76CA397E"/>
    <w:rsid w:val="77B64678"/>
    <w:rsid w:val="7AA768A5"/>
    <w:rsid w:val="7B5D3E23"/>
    <w:rsid w:val="7C91A521"/>
    <w:rsid w:val="7DE77D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9BC8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34"/>
    <w:qFormat/>
    <w:rsid w:val="00B4078D"/>
    <w:pPr>
      <w:ind w:left="720"/>
      <w:contextualSpacing/>
    </w:pPr>
  </w:style>
  <w:style w:type="character" w:customStyle="1" w:styleId="contentpasted0">
    <w:name w:val="contentpasted0"/>
    <w:basedOn w:val="DefaultParagraphFont"/>
    <w:rsid w:val="00A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nurse-on-call-servi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profiles/general-practitioner-services" TargetMode="External"/><Relationship Id="rId2" Type="http://schemas.openxmlformats.org/officeDocument/2006/relationships/customXml" Target="../customXml/item2.xml"/><Relationship Id="rId16" Type="http://schemas.openxmlformats.org/officeDocument/2006/relationships/hyperlink" Target="https://www.mpxvaccine.forms.health.vic.gov.au/" TargetMode="External"/><Relationship Id="rId20" Type="http://schemas.openxmlformats.org/officeDocument/2006/relationships/hyperlink" Target="https://www.betterhealth.vic.gov.au/mental-health-and-wellbeing-h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monkeyp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300606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204d6-b62b-45e6-bfb8-51079c884d95">
      <UserInfo>
        <DisplayName>Min-Ho Jung (Health)</DisplayName>
        <AccountId>43</AccountId>
        <AccountType/>
      </UserInfo>
      <UserInfo>
        <DisplayName>Max Braddick (Health)</DisplayName>
        <AccountId>40</AccountId>
        <AccountType/>
      </UserInfo>
      <UserInfo>
        <DisplayName>Helen O'Brien (Health)</DisplayName>
        <AccountId>10</AccountId>
        <AccountType/>
      </UserInfo>
      <UserInfo>
        <DisplayName>Sarra Abdulatti (Health)</DisplayName>
        <AccountId>20</AccountId>
        <AccountType/>
      </UserInfo>
      <UserInfo>
        <DisplayName>Daniel Zander (Health)</DisplayName>
        <AccountId>101</AccountId>
        <AccountType/>
      </UserInfo>
      <UserInfo>
        <DisplayName>Sarah Axford (Health)</DisplayName>
        <AccountId>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B5FE65A092245943D29EBC73A887A" ma:contentTypeVersion="6" ma:contentTypeDescription="Create a new document." ma:contentTypeScope="" ma:versionID="28fe9bf44911c39fa140e4f2353e09a4">
  <xsd:schema xmlns:xsd="http://www.w3.org/2001/XMLSchema" xmlns:xs="http://www.w3.org/2001/XMLSchema" xmlns:p="http://schemas.microsoft.com/office/2006/metadata/properties" xmlns:ns2="aac0504e-7b44-4f77-b770-7cbe32b01118" xmlns:ns3="bf9204d6-b62b-45e6-bfb8-51079c884d95" targetNamespace="http://schemas.microsoft.com/office/2006/metadata/properties" ma:root="true" ma:fieldsID="bfa391794b7754ff8e94f9dcfce566c0" ns2:_="" ns3:_="">
    <xsd:import namespace="aac0504e-7b44-4f77-b770-7cbe32b01118"/>
    <xsd:import namespace="bf9204d6-b62b-45e6-bfb8-51079c884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504e-7b44-4f77-b770-7cbe32b0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04d6-b62b-45e6-bfb8-51079c884d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f9204d6-b62b-45e6-bfb8-51079c884d95"/>
  </ds:schemaRefs>
</ds:datastoreItem>
</file>

<file path=customXml/itemProps2.xml><?xml version="1.0" encoding="utf-8"?>
<ds:datastoreItem xmlns:ds="http://schemas.openxmlformats.org/officeDocument/2006/customXml" ds:itemID="{BE998BE3-919D-4DAA-8E49-92ABD8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504e-7b44-4f77-b770-7cbe32b01118"/>
    <ds:schemaRef ds:uri="bf9204d6-b62b-45e6-bfb8-51079c88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191FA74-B3EE-49FD-B135-15C566D6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1059</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State Government, Department of Health</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17</cp:revision>
  <cp:lastPrinted>2022-10-25T05:00:00Z</cp:lastPrinted>
  <dcterms:created xsi:type="dcterms:W3CDTF">2022-10-17T01:50:00Z</dcterms:created>
  <dcterms:modified xsi:type="dcterms:W3CDTF">2022-10-25T05:01:00Z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Factsheet</vt:lpwstr>
  </property>
  <property fmtid="{D5CDD505-2E9C-101B-9397-08002B2CF9AE}" pid="3" name="ComplianceAssetId">
    <vt:lpwstr/>
  </property>
  <property fmtid="{D5CDD505-2E9C-101B-9397-08002B2CF9AE}" pid="4" name="ContentTypeId">
    <vt:lpwstr>0x010100FE3B5FE65A092245943D29EBC73A887A</vt:lpwstr>
  </property>
  <property fmtid="{D5CDD505-2E9C-101B-9397-08002B2CF9AE}" pid="5" name="Days before next review">
    <vt:r8>365</vt:r8>
  </property>
  <property fmtid="{D5CDD505-2E9C-101B-9397-08002B2CF9AE}" pid="6" name="Language">
    <vt:lpwstr>English</vt:lpwstr>
  </property>
  <property fmtid="{D5CDD505-2E9C-101B-9397-08002B2CF9AE}" pid="7" name="MSIP_Label_43e64453-338c-4f93-8a4d-0039a0a41f2a_ActionId">
    <vt:lpwstr>cba812a2-3643-4b69-abe4-5b0cbaab29c3</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2022-10-17T01:54:47Z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emplateVersion">
    <vt:i4>1</vt:i4>
  </property>
  <property fmtid="{D5CDD505-2E9C-101B-9397-08002B2CF9AE}" pid="16" name="version">
    <vt:lpwstr>v5 15032021</vt:lpwstr>
  </property>
  <property fmtid="{D5CDD505-2E9C-101B-9397-08002B2CF9AE}" pid="17" name="WebPage">
    <vt:lpwstr>https://dhhsvicgovau.sharepoint.com/:w:/s/health/EfWE1MaM091KmQAbxOV76oQBjlKVGGXZ-KGB_8f7MHqinw, https://dhhsvicgovau.sharepoint.com/:w:/s/health/EfWE1MaM091KmQAbxOV76oQBjlKVGGXZ-KGB_8f7MHqinw</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MarkAsFinal">
    <vt:lpwstr>true</vt:lpwstr>
  </property>
</Properties>
</file>